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pPr>
        <w:spacing w:before="720" w:after="960"/>
      </w:pPr>
      <w:r>
        <w:rPr>
          <w:noProof/>
        </w:rPr>
        <w:drawing>
          <wp:anchor distT="0" distB="0" distL="114300" distR="114300" simplePos="0" relativeHeight="252350464" behindDoc="1" locked="0" layoutInCell="1" allowOverlap="1">
            <wp:simplePos x="0" y="0"/>
            <wp:positionH relativeFrom="column">
              <wp:posOffset>1786890</wp:posOffset>
            </wp:positionH>
            <wp:positionV relativeFrom="paragraph">
              <wp:posOffset>1183005</wp:posOffset>
            </wp:positionV>
            <wp:extent cx="3049905" cy="842645"/>
            <wp:effectExtent l="0" t="0" r="0" b="0"/>
            <wp:wrapTight wrapText="bothSides">
              <wp:wrapPolygon edited="0">
                <wp:start x="3913" y="0"/>
                <wp:lineTo x="1349" y="3907"/>
                <wp:lineTo x="0" y="6348"/>
                <wp:lineTo x="0" y="20021"/>
                <wp:lineTo x="4182" y="20998"/>
                <wp:lineTo x="18888" y="20998"/>
                <wp:lineTo x="20102" y="20998"/>
                <wp:lineTo x="20507" y="20998"/>
                <wp:lineTo x="21452" y="17091"/>
                <wp:lineTo x="21452" y="5372"/>
                <wp:lineTo x="18888" y="3418"/>
                <wp:lineTo x="10254" y="0"/>
                <wp:lineTo x="3913" y="0"/>
              </wp:wrapPolygon>
            </wp:wrapTight>
            <wp:docPr id="231" name="image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6.png"/>
                    <pic:cNvPicPr preferRelativeResize="0"/>
                  </pic:nvPicPr>
                  <pic:blipFill>
                    <a:blip r:embed="rId8" cstate="print"/>
                    <a:srcRect/>
                    <a:stretch>
                      <a:fillRect/>
                    </a:stretch>
                  </pic:blipFill>
                  <pic:spPr>
                    <a:xfrm>
                      <a:off x="0" y="0"/>
                      <a:ext cx="3049905" cy="842645"/>
                    </a:xfrm>
                    <a:prstGeom prst="rect">
                      <a:avLst/>
                    </a:prstGeom>
                    <a:ln/>
                  </pic:spPr>
                </pic:pic>
              </a:graphicData>
            </a:graphic>
          </wp:anchor>
        </w:drawing>
      </w:r>
    </w:p>
    <w:p>
      <w:pPr>
        <w:spacing w:before="720" w:after="960"/>
      </w:pPr>
    </w:p>
    <w:p/>
    <w:p>
      <w:pPr>
        <w:pStyle w:val="Liste"/>
        <w:spacing w:before="120" w:after="0"/>
        <w:jc w:val="center"/>
        <w:rPr>
          <w:noProof/>
          <w:highlight w:val="yellow"/>
        </w:rPr>
      </w:pPr>
      <w:r>
        <w:rPr>
          <w:noProof/>
        </w:rPr>
        <w:drawing>
          <wp:anchor distT="0" distB="0" distL="114300" distR="114300" simplePos="0" relativeHeight="252091392" behindDoc="0" locked="0" layoutInCell="1" allowOverlap="1">
            <wp:simplePos x="0" y="0"/>
            <wp:positionH relativeFrom="column">
              <wp:posOffset>-720090</wp:posOffset>
            </wp:positionH>
            <wp:positionV relativeFrom="paragraph">
              <wp:posOffset>10795</wp:posOffset>
            </wp:positionV>
            <wp:extent cx="7546975" cy="1866900"/>
            <wp:effectExtent l="19050" t="0" r="0" b="0"/>
            <wp:wrapSquare wrapText="bothSides"/>
            <wp:docPr id="16"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tereo Corporate 2018 FR.png"/>
                    <pic:cNvPicPr/>
                  </pic:nvPicPr>
                  <pic:blipFill rotWithShape="1">
                    <a:blip r:embed="rId9" cstate="print">
                      <a:extLst>
                        <a:ext uri="{28A0092B-C50C-407E-A947-70E740481C1C}">
                          <a14:useLocalDpi xmlns:a14="http://schemas.microsoft.com/office/drawing/2010/main" val="0"/>
                        </a:ext>
                      </a:extLst>
                    </a:blip>
                    <a:srcRect t="21886" b="34084"/>
                    <a:stretch/>
                  </pic:blipFill>
                  <pic:spPr bwMode="auto">
                    <a:xfrm>
                      <a:off x="0" y="0"/>
                      <a:ext cx="7546975" cy="1866900"/>
                    </a:xfrm>
                    <a:prstGeom prst="rect">
                      <a:avLst/>
                    </a:prstGeom>
                    <a:ln>
                      <a:noFill/>
                    </a:ln>
                    <a:extLst>
                      <a:ext uri="{53640926-AAD7-44D8-BBD7-CCE9431645EC}">
                        <a14:shadowObscured xmlns:a14="http://schemas.microsoft.com/office/drawing/2010/main"/>
                      </a:ext>
                    </a:extLst>
                  </pic:spPr>
                </pic:pic>
              </a:graphicData>
            </a:graphic>
          </wp:anchor>
        </w:drawing>
      </w:r>
    </w:p>
    <w:p>
      <w:pPr>
        <w:pStyle w:val="Liste"/>
        <w:spacing w:before="120" w:after="0"/>
        <w:jc w:val="center"/>
        <w:rPr>
          <w:noProof/>
          <w:highlight w:val="yellow"/>
        </w:rPr>
      </w:pPr>
      <w:r>
        <w:rPr>
          <w:noProof/>
        </w:rPr>
        <w:drawing>
          <wp:inline distT="0" distB="0" distL="0" distR="0">
            <wp:extent cx="2943225" cy="1371600"/>
            <wp:effectExtent l="19050" t="0" r="9525" b="0"/>
            <wp:docPr id="1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srcRect/>
                    <a:stretch>
                      <a:fillRect/>
                    </a:stretch>
                  </pic:blipFill>
                  <pic:spPr bwMode="auto">
                    <a:xfrm>
                      <a:off x="0" y="0"/>
                      <a:ext cx="2943225" cy="1371600"/>
                    </a:xfrm>
                    <a:prstGeom prst="rect">
                      <a:avLst/>
                    </a:prstGeom>
                    <a:noFill/>
                    <a:ln w="9525">
                      <a:noFill/>
                      <a:miter lim="800000"/>
                      <a:headEnd/>
                      <a:tailEnd/>
                    </a:ln>
                  </pic:spPr>
                </pic:pic>
              </a:graphicData>
            </a:graphic>
          </wp:inline>
        </w:drawing>
      </w:r>
    </w:p>
    <w:p>
      <w:pPr>
        <w:pStyle w:val="Liste"/>
        <w:spacing w:before="120" w:after="0"/>
        <w:jc w:val="center"/>
        <w:rPr>
          <w:noProof/>
          <w:highlight w:val="yellow"/>
        </w:rPr>
      </w:pPr>
    </w:p>
    <w:p>
      <w:pPr>
        <w:pStyle w:val="Liste"/>
        <w:spacing w:before="120" w:after="0"/>
        <w:jc w:val="center"/>
      </w:pPr>
    </w:p>
    <w:p>
      <w:pPr>
        <w:pStyle w:val="Sous-titregris"/>
        <w:jc w:val="center"/>
        <w:rPr>
          <w:b/>
          <w:color w:val="404040" w:themeColor="text1" w:themeTint="BF"/>
          <w:sz w:val="36"/>
          <w:szCs w:val="30"/>
        </w:rPr>
      </w:pPr>
      <w:r>
        <w:rPr>
          <w:b/>
          <w:color w:val="404040" w:themeColor="text1" w:themeTint="BF"/>
          <w:sz w:val="36"/>
          <w:szCs w:val="30"/>
        </w:rPr>
        <w:t>ETUDE DIAGNOSTIC DU SYSTEME D’ASSAINISSEMENT</w:t>
      </w:r>
    </w:p>
    <w:p>
      <w:pPr>
        <w:pStyle w:val="Sous-titregris"/>
        <w:jc w:val="center"/>
        <w:rPr>
          <w:b/>
          <w:color w:val="404040" w:themeColor="text1" w:themeTint="BF"/>
          <w:sz w:val="36"/>
          <w:szCs w:val="30"/>
        </w:rPr>
      </w:pPr>
      <w:r>
        <w:rPr>
          <w:b/>
          <w:color w:val="404040" w:themeColor="text1" w:themeTint="BF"/>
          <w:sz w:val="36"/>
          <w:szCs w:val="30"/>
        </w:rPr>
        <w:t>Commune de Garons</w:t>
      </w:r>
    </w:p>
    <w:p>
      <w:pPr>
        <w:pStyle w:val="Sous-titregris"/>
        <w:jc w:val="center"/>
        <w:rPr>
          <w:b/>
          <w:color w:val="404040" w:themeColor="text1" w:themeTint="BF"/>
          <w:sz w:val="36"/>
          <w:szCs w:val="30"/>
        </w:rPr>
      </w:pPr>
    </w:p>
    <w:p>
      <w:pPr>
        <w:pStyle w:val="Emphaserouge"/>
        <w:jc w:val="center"/>
        <w:rPr>
          <w:b/>
          <w:color w:val="0070C0"/>
          <w:sz w:val="32"/>
        </w:rPr>
      </w:pPr>
      <w:r>
        <w:rPr>
          <w:b/>
          <w:color w:val="F689BA"/>
        </w:rPr>
        <w:br/>
      </w:r>
      <w:r>
        <w:rPr>
          <w:b/>
          <w:color w:val="0070C0"/>
          <w:sz w:val="32"/>
        </w:rPr>
        <w:t>Rapport de synthèse</w:t>
      </w:r>
    </w:p>
    <w:p>
      <w:pPr>
        <w:pStyle w:val="Emphaserouge"/>
        <w:rPr>
          <w:color w:val="0070C0"/>
          <w:sz w:val="32"/>
        </w:rPr>
      </w:pPr>
    </w:p>
    <w:p>
      <w:pPr>
        <w:pStyle w:val="Emphaserouge"/>
        <w:rPr>
          <w:color w:val="0070C0"/>
          <w:sz w:val="32"/>
        </w:rPr>
      </w:pPr>
    </w:p>
    <w:p/>
    <w:tbl>
      <w:tblPr>
        <w:tblW w:w="0" w:type="auto"/>
        <w:tblLook w:val="04A0" w:firstRow="1" w:lastRow="0" w:firstColumn="1" w:lastColumn="0" w:noHBand="0" w:noVBand="1"/>
      </w:tblPr>
      <w:tblGrid>
        <w:gridCol w:w="3227"/>
        <w:gridCol w:w="2977"/>
        <w:gridCol w:w="1134"/>
        <w:gridCol w:w="1094"/>
        <w:gridCol w:w="1356"/>
      </w:tblGrid>
      <w:tr>
        <w:tc>
          <w:tcPr>
            <w:tcW w:w="3227" w:type="dxa"/>
          </w:tcPr>
          <w:p>
            <w:pPr>
              <w:spacing w:before="0"/>
              <w:rPr>
                <w:color w:val="404040" w:themeColor="text1" w:themeTint="BF"/>
              </w:rPr>
            </w:pPr>
          </w:p>
          <w:p>
            <w:pPr>
              <w:spacing w:before="0"/>
              <w:rPr>
                <w:color w:val="404040" w:themeColor="text1" w:themeTint="BF"/>
              </w:rPr>
            </w:pPr>
          </w:p>
          <w:p>
            <w:pPr>
              <w:spacing w:before="0"/>
              <w:rPr>
                <w:color w:val="404040" w:themeColor="text1" w:themeTint="BF"/>
              </w:rPr>
            </w:pPr>
          </w:p>
          <w:p>
            <w:pPr>
              <w:spacing w:before="0"/>
              <w:rPr>
                <w:color w:val="404040" w:themeColor="text1" w:themeTint="BF"/>
              </w:rPr>
            </w:pPr>
          </w:p>
        </w:tc>
        <w:tc>
          <w:tcPr>
            <w:tcW w:w="2977" w:type="dxa"/>
          </w:tcPr>
          <w:p>
            <w:pPr>
              <w:spacing w:before="0"/>
              <w:rPr>
                <w:color w:val="404040" w:themeColor="text1" w:themeTint="BF"/>
              </w:rPr>
            </w:pPr>
          </w:p>
        </w:tc>
        <w:tc>
          <w:tcPr>
            <w:tcW w:w="1134" w:type="dxa"/>
          </w:tcPr>
          <w:p>
            <w:pPr>
              <w:tabs>
                <w:tab w:val="left" w:pos="915"/>
              </w:tabs>
            </w:pPr>
          </w:p>
        </w:tc>
        <w:tc>
          <w:tcPr>
            <w:tcW w:w="1094" w:type="dxa"/>
          </w:tcPr>
          <w:p>
            <w:pPr>
              <w:pStyle w:val="Emphaserouge"/>
              <w:spacing w:before="0" w:after="0"/>
              <w:rPr>
                <w:color w:val="404040" w:themeColor="text1" w:themeTint="BF"/>
                <w:sz w:val="20"/>
              </w:rPr>
            </w:pPr>
          </w:p>
        </w:tc>
        <w:tc>
          <w:tcPr>
            <w:tcW w:w="1356" w:type="dxa"/>
          </w:tcPr>
          <w:p>
            <w:pPr>
              <w:pStyle w:val="Emphaserouge"/>
              <w:spacing w:before="0" w:after="0"/>
              <w:rPr>
                <w:color w:val="404040" w:themeColor="text1" w:themeTint="BF"/>
                <w:sz w:val="20"/>
              </w:rPr>
            </w:pPr>
          </w:p>
        </w:tc>
      </w:tr>
      <w:tr>
        <w:tc>
          <w:tcPr>
            <w:tcW w:w="9788" w:type="dxa"/>
            <w:gridSpan w:val="5"/>
          </w:tcPr>
          <w:p>
            <w:pPr>
              <w:pStyle w:val="Emphaserouge"/>
              <w:spacing w:before="0" w:after="0"/>
              <w:jc w:val="right"/>
              <w:rPr>
                <w:color w:val="3C005A"/>
                <w:sz w:val="20"/>
              </w:rPr>
            </w:pPr>
          </w:p>
          <w:p>
            <w:pPr>
              <w:pStyle w:val="Emphaserouge"/>
              <w:spacing w:before="0" w:after="0"/>
              <w:jc w:val="right"/>
              <w:rPr>
                <w:color w:val="3C005A"/>
                <w:sz w:val="20"/>
              </w:rPr>
            </w:pPr>
          </w:p>
        </w:tc>
      </w:tr>
    </w:tbl>
    <w:p>
      <w:pPr>
        <w:jc w:val="left"/>
        <w:rPr>
          <w:b/>
          <w:bCs/>
          <w:color w:val="333333"/>
          <w:sz w:val="32"/>
        </w:rPr>
      </w:pPr>
      <w:r>
        <w:rPr>
          <w:b/>
          <w:bCs/>
          <w:color w:val="333333"/>
          <w:sz w:val="32"/>
        </w:rPr>
        <w:lastRenderedPageBreak/>
        <w:t>Sommaire</w:t>
      </w:r>
    </w:p>
    <w:p>
      <w:pPr>
        <w:pStyle w:val="TM1"/>
        <w:tabs>
          <w:tab w:val="right" w:leader="dot" w:pos="9627"/>
        </w:tabs>
        <w:rPr>
          <w:rFonts w:asciiTheme="minorHAnsi" w:eastAsiaTheme="minorEastAsia" w:hAnsiTheme="minorHAnsi" w:cstheme="minorBidi"/>
          <w:b w:val="0"/>
          <w:caps w:val="0"/>
          <w:sz w:val="22"/>
          <w:szCs w:val="22"/>
        </w:rPr>
      </w:pPr>
      <w:r>
        <w:rPr>
          <w:highlight w:val="yellow"/>
        </w:rPr>
        <w:fldChar w:fldCharType="begin"/>
      </w:r>
      <w:r>
        <w:rPr>
          <w:highlight w:val="yellow"/>
        </w:rPr>
        <w:instrText xml:space="preserve"> TOC \o "1-3" \h \z </w:instrText>
      </w:r>
      <w:r>
        <w:rPr>
          <w:highlight w:val="yellow"/>
        </w:rPr>
        <w:fldChar w:fldCharType="separate"/>
      </w:r>
      <w:hyperlink w:anchor="_Toc92353816" w:history="1">
        <w:r>
          <w:rPr>
            <w:rStyle w:val="Lienhypertexte"/>
          </w:rPr>
          <w:t>0. Préambule</w:t>
        </w:r>
        <w:r>
          <w:rPr>
            <w:webHidden/>
          </w:rPr>
          <w:tab/>
        </w:r>
        <w:r>
          <w:rPr>
            <w:webHidden/>
          </w:rPr>
          <w:fldChar w:fldCharType="begin"/>
        </w:r>
        <w:r>
          <w:rPr>
            <w:webHidden/>
          </w:rPr>
          <w:instrText xml:space="preserve"> PAGEREF _Toc92353816 \h </w:instrText>
        </w:r>
        <w:r>
          <w:rPr>
            <w:webHidden/>
          </w:rPr>
        </w:r>
        <w:r>
          <w:rPr>
            <w:webHidden/>
          </w:rPr>
          <w:fldChar w:fldCharType="separate"/>
        </w:r>
        <w:r>
          <w:rPr>
            <w:webHidden/>
          </w:rPr>
          <w:t>4</w:t>
        </w:r>
        <w:r>
          <w:rPr>
            <w:webHidden/>
          </w:rPr>
          <w:fldChar w:fldCharType="end"/>
        </w:r>
      </w:hyperlink>
    </w:p>
    <w:p>
      <w:pPr>
        <w:pStyle w:val="TM1"/>
        <w:tabs>
          <w:tab w:val="right" w:leader="dot" w:pos="9627"/>
        </w:tabs>
        <w:rPr>
          <w:rFonts w:asciiTheme="minorHAnsi" w:eastAsiaTheme="minorEastAsia" w:hAnsiTheme="minorHAnsi" w:cstheme="minorBidi"/>
          <w:b w:val="0"/>
          <w:caps w:val="0"/>
          <w:sz w:val="22"/>
          <w:szCs w:val="22"/>
        </w:rPr>
      </w:pPr>
      <w:hyperlink w:anchor="_Toc92353817" w:history="1">
        <w:r>
          <w:rPr>
            <w:rStyle w:val="Lienhypertexte"/>
          </w:rPr>
          <w:t>1. Synthèse des principaux éléments du diagnostic</w:t>
        </w:r>
        <w:r>
          <w:rPr>
            <w:webHidden/>
          </w:rPr>
          <w:tab/>
        </w:r>
        <w:r>
          <w:rPr>
            <w:webHidden/>
          </w:rPr>
          <w:fldChar w:fldCharType="begin"/>
        </w:r>
        <w:r>
          <w:rPr>
            <w:webHidden/>
          </w:rPr>
          <w:instrText xml:space="preserve"> PAGEREF _Toc92353817 \h </w:instrText>
        </w:r>
        <w:r>
          <w:rPr>
            <w:webHidden/>
          </w:rPr>
        </w:r>
        <w:r>
          <w:rPr>
            <w:webHidden/>
          </w:rPr>
          <w:fldChar w:fldCharType="separate"/>
        </w:r>
        <w:r>
          <w:rPr>
            <w:webHidden/>
          </w:rPr>
          <w:t>5</w:t>
        </w:r>
        <w:r>
          <w:rPr>
            <w:webHidden/>
          </w:rPr>
          <w:fldChar w:fldCharType="end"/>
        </w:r>
      </w:hyperlink>
    </w:p>
    <w:p>
      <w:pPr>
        <w:pStyle w:val="TM2"/>
        <w:tabs>
          <w:tab w:val="right" w:leader="dot" w:pos="9627"/>
        </w:tabs>
        <w:rPr>
          <w:rFonts w:asciiTheme="minorHAnsi" w:eastAsiaTheme="minorEastAsia" w:hAnsiTheme="minorHAnsi" w:cstheme="minorBidi"/>
          <w:b w:val="0"/>
          <w:sz w:val="22"/>
          <w:szCs w:val="22"/>
        </w:rPr>
      </w:pPr>
      <w:hyperlink w:anchor="_Toc92353818" w:history="1">
        <w:r>
          <w:rPr>
            <w:rStyle w:val="Lienhypertexte"/>
          </w:rPr>
          <w:t>1.1. Ratio et chiffres clefs</w:t>
        </w:r>
        <w:r>
          <w:rPr>
            <w:webHidden/>
          </w:rPr>
          <w:tab/>
        </w:r>
        <w:r>
          <w:rPr>
            <w:webHidden/>
          </w:rPr>
          <w:fldChar w:fldCharType="begin"/>
        </w:r>
        <w:r>
          <w:rPr>
            <w:webHidden/>
          </w:rPr>
          <w:instrText xml:space="preserve"> PAGEREF _Toc92353818 \h </w:instrText>
        </w:r>
        <w:r>
          <w:rPr>
            <w:webHidden/>
          </w:rPr>
        </w:r>
        <w:r>
          <w:rPr>
            <w:webHidden/>
          </w:rPr>
          <w:fldChar w:fldCharType="separate"/>
        </w:r>
        <w:r>
          <w:rPr>
            <w:webHidden/>
          </w:rPr>
          <w:t>5</w:t>
        </w:r>
        <w:r>
          <w:rPr>
            <w:webHidden/>
          </w:rPr>
          <w:fldChar w:fldCharType="end"/>
        </w:r>
      </w:hyperlink>
    </w:p>
    <w:p>
      <w:pPr>
        <w:pStyle w:val="TM2"/>
        <w:tabs>
          <w:tab w:val="right" w:leader="dot" w:pos="9627"/>
        </w:tabs>
        <w:rPr>
          <w:rFonts w:asciiTheme="minorHAnsi" w:eastAsiaTheme="minorEastAsia" w:hAnsiTheme="minorHAnsi" w:cstheme="minorBidi"/>
          <w:b w:val="0"/>
          <w:sz w:val="22"/>
          <w:szCs w:val="22"/>
        </w:rPr>
      </w:pPr>
      <w:hyperlink w:anchor="_Toc92353819" w:history="1">
        <w:r>
          <w:rPr>
            <w:rStyle w:val="Lienhypertexte"/>
          </w:rPr>
          <w:t>1.2. Etat du réseau de collecte</w:t>
        </w:r>
        <w:r>
          <w:rPr>
            <w:webHidden/>
          </w:rPr>
          <w:tab/>
        </w:r>
        <w:r>
          <w:rPr>
            <w:webHidden/>
          </w:rPr>
          <w:fldChar w:fldCharType="begin"/>
        </w:r>
        <w:r>
          <w:rPr>
            <w:webHidden/>
          </w:rPr>
          <w:instrText xml:space="preserve"> PAGEREF _Toc92353819 \h </w:instrText>
        </w:r>
        <w:r>
          <w:rPr>
            <w:webHidden/>
          </w:rPr>
        </w:r>
        <w:r>
          <w:rPr>
            <w:webHidden/>
          </w:rPr>
          <w:fldChar w:fldCharType="separate"/>
        </w:r>
        <w:r>
          <w:rPr>
            <w:webHidden/>
          </w:rPr>
          <w:t>5</w:t>
        </w:r>
        <w:r>
          <w:rPr>
            <w:webHidden/>
          </w:rPr>
          <w:fldChar w:fldCharType="end"/>
        </w:r>
      </w:hyperlink>
    </w:p>
    <w:p>
      <w:pPr>
        <w:pStyle w:val="TM2"/>
        <w:tabs>
          <w:tab w:val="right" w:leader="dot" w:pos="9627"/>
        </w:tabs>
        <w:rPr>
          <w:rFonts w:asciiTheme="minorHAnsi" w:eastAsiaTheme="minorEastAsia" w:hAnsiTheme="minorHAnsi" w:cstheme="minorBidi"/>
          <w:b w:val="0"/>
          <w:sz w:val="22"/>
          <w:szCs w:val="22"/>
        </w:rPr>
      </w:pPr>
      <w:hyperlink w:anchor="_Toc92353820" w:history="1">
        <w:r>
          <w:rPr>
            <w:rStyle w:val="Lienhypertexte"/>
          </w:rPr>
          <w:t>1.3. Fonctionnement et performance de l’unité de dépollution des eaux usées</w:t>
        </w:r>
        <w:r>
          <w:rPr>
            <w:webHidden/>
          </w:rPr>
          <w:tab/>
        </w:r>
        <w:r>
          <w:rPr>
            <w:webHidden/>
          </w:rPr>
          <w:fldChar w:fldCharType="begin"/>
        </w:r>
        <w:r>
          <w:rPr>
            <w:webHidden/>
          </w:rPr>
          <w:instrText xml:space="preserve"> PAGEREF _Toc92353820 \h </w:instrText>
        </w:r>
        <w:r>
          <w:rPr>
            <w:webHidden/>
          </w:rPr>
        </w:r>
        <w:r>
          <w:rPr>
            <w:webHidden/>
          </w:rPr>
          <w:fldChar w:fldCharType="separate"/>
        </w:r>
        <w:r>
          <w:rPr>
            <w:webHidden/>
          </w:rPr>
          <w:t>6</w:t>
        </w:r>
        <w:r>
          <w:rPr>
            <w:webHidden/>
          </w:rPr>
          <w:fldChar w:fldCharType="end"/>
        </w:r>
      </w:hyperlink>
    </w:p>
    <w:p>
      <w:pPr>
        <w:pStyle w:val="TM2"/>
        <w:tabs>
          <w:tab w:val="right" w:leader="dot" w:pos="9627"/>
        </w:tabs>
        <w:rPr>
          <w:rFonts w:asciiTheme="minorHAnsi" w:eastAsiaTheme="minorEastAsia" w:hAnsiTheme="minorHAnsi" w:cstheme="minorBidi"/>
          <w:b w:val="0"/>
          <w:sz w:val="22"/>
          <w:szCs w:val="22"/>
        </w:rPr>
      </w:pPr>
      <w:hyperlink w:anchor="_Toc92353821" w:history="1">
        <w:r>
          <w:rPr>
            <w:rStyle w:val="Lienhypertexte"/>
          </w:rPr>
          <w:t>1.4. Campagne de mesures</w:t>
        </w:r>
        <w:r>
          <w:rPr>
            <w:webHidden/>
          </w:rPr>
          <w:tab/>
        </w:r>
        <w:r>
          <w:rPr>
            <w:webHidden/>
          </w:rPr>
          <w:fldChar w:fldCharType="begin"/>
        </w:r>
        <w:r>
          <w:rPr>
            <w:webHidden/>
          </w:rPr>
          <w:instrText xml:space="preserve"> PAGEREF _Toc92353821 \h </w:instrText>
        </w:r>
        <w:r>
          <w:rPr>
            <w:webHidden/>
          </w:rPr>
        </w:r>
        <w:r>
          <w:rPr>
            <w:webHidden/>
          </w:rPr>
          <w:fldChar w:fldCharType="separate"/>
        </w:r>
        <w:r>
          <w:rPr>
            <w:webHidden/>
          </w:rPr>
          <w:t>6</w:t>
        </w:r>
        <w:r>
          <w:rPr>
            <w:webHidden/>
          </w:rPr>
          <w:fldChar w:fldCharType="end"/>
        </w:r>
      </w:hyperlink>
    </w:p>
    <w:p>
      <w:pPr>
        <w:pStyle w:val="TM2"/>
        <w:tabs>
          <w:tab w:val="right" w:leader="dot" w:pos="9627"/>
        </w:tabs>
        <w:rPr>
          <w:rFonts w:asciiTheme="minorHAnsi" w:eastAsiaTheme="minorEastAsia" w:hAnsiTheme="minorHAnsi" w:cstheme="minorBidi"/>
          <w:b w:val="0"/>
          <w:sz w:val="22"/>
          <w:szCs w:val="22"/>
        </w:rPr>
      </w:pPr>
      <w:hyperlink w:anchor="_Toc92353822" w:history="1">
        <w:r>
          <w:rPr>
            <w:rStyle w:val="Lienhypertexte"/>
          </w:rPr>
          <w:t>1.5. Bilan des eaux parasites sur le système de collecte</w:t>
        </w:r>
        <w:r>
          <w:rPr>
            <w:webHidden/>
          </w:rPr>
          <w:tab/>
        </w:r>
        <w:r>
          <w:rPr>
            <w:webHidden/>
          </w:rPr>
          <w:fldChar w:fldCharType="begin"/>
        </w:r>
        <w:r>
          <w:rPr>
            <w:webHidden/>
          </w:rPr>
          <w:instrText xml:space="preserve"> PAGEREF _Toc92353822 \h </w:instrText>
        </w:r>
        <w:r>
          <w:rPr>
            <w:webHidden/>
          </w:rPr>
        </w:r>
        <w:r>
          <w:rPr>
            <w:webHidden/>
          </w:rPr>
          <w:fldChar w:fldCharType="separate"/>
        </w:r>
        <w:r>
          <w:rPr>
            <w:webHidden/>
          </w:rPr>
          <w:t>8</w:t>
        </w:r>
        <w:r>
          <w:rPr>
            <w:webHidden/>
          </w:rPr>
          <w:fldChar w:fldCharType="end"/>
        </w:r>
      </w:hyperlink>
    </w:p>
    <w:p>
      <w:pPr>
        <w:pStyle w:val="TM3"/>
        <w:tabs>
          <w:tab w:val="right" w:leader="dot" w:pos="9627"/>
        </w:tabs>
        <w:rPr>
          <w:rFonts w:asciiTheme="minorHAnsi" w:eastAsiaTheme="minorEastAsia" w:hAnsiTheme="minorHAnsi" w:cstheme="minorBidi"/>
          <w:noProof/>
          <w:sz w:val="22"/>
          <w:szCs w:val="22"/>
        </w:rPr>
      </w:pPr>
      <w:hyperlink w:anchor="_Toc92353823" w:history="1">
        <w:r>
          <w:rPr>
            <w:rStyle w:val="Lienhypertexte"/>
            <w:noProof/>
          </w:rPr>
          <w:t>1.5.1. Eaux claires parasites permanentes (ECPP)</w:t>
        </w:r>
        <w:r>
          <w:rPr>
            <w:noProof/>
            <w:webHidden/>
          </w:rPr>
          <w:tab/>
        </w:r>
        <w:r>
          <w:rPr>
            <w:noProof/>
            <w:webHidden/>
          </w:rPr>
          <w:fldChar w:fldCharType="begin"/>
        </w:r>
        <w:r>
          <w:rPr>
            <w:noProof/>
            <w:webHidden/>
          </w:rPr>
          <w:instrText xml:space="preserve"> PAGEREF _Toc92353823 \h </w:instrText>
        </w:r>
        <w:r>
          <w:rPr>
            <w:noProof/>
            <w:webHidden/>
          </w:rPr>
        </w:r>
        <w:r>
          <w:rPr>
            <w:noProof/>
            <w:webHidden/>
          </w:rPr>
          <w:fldChar w:fldCharType="separate"/>
        </w:r>
        <w:r>
          <w:rPr>
            <w:noProof/>
            <w:webHidden/>
          </w:rPr>
          <w:t>8</w:t>
        </w:r>
        <w:r>
          <w:rPr>
            <w:noProof/>
            <w:webHidden/>
          </w:rPr>
          <w:fldChar w:fldCharType="end"/>
        </w:r>
      </w:hyperlink>
    </w:p>
    <w:p>
      <w:pPr>
        <w:pStyle w:val="TM3"/>
        <w:tabs>
          <w:tab w:val="right" w:leader="dot" w:pos="9627"/>
        </w:tabs>
        <w:rPr>
          <w:rFonts w:asciiTheme="minorHAnsi" w:eastAsiaTheme="minorEastAsia" w:hAnsiTheme="minorHAnsi" w:cstheme="minorBidi"/>
          <w:noProof/>
          <w:sz w:val="22"/>
          <w:szCs w:val="22"/>
        </w:rPr>
      </w:pPr>
      <w:hyperlink w:anchor="_Toc92353824" w:history="1">
        <w:r>
          <w:rPr>
            <w:rStyle w:val="Lienhypertexte"/>
            <w:noProof/>
          </w:rPr>
          <w:t>1.5.2. Eaux claires parasites météoriques (ECPM)</w:t>
        </w:r>
        <w:r>
          <w:rPr>
            <w:noProof/>
            <w:webHidden/>
          </w:rPr>
          <w:tab/>
        </w:r>
        <w:r>
          <w:rPr>
            <w:noProof/>
            <w:webHidden/>
          </w:rPr>
          <w:fldChar w:fldCharType="begin"/>
        </w:r>
        <w:r>
          <w:rPr>
            <w:noProof/>
            <w:webHidden/>
          </w:rPr>
          <w:instrText xml:space="preserve"> PAGEREF _Toc92353824 \h </w:instrText>
        </w:r>
        <w:r>
          <w:rPr>
            <w:noProof/>
            <w:webHidden/>
          </w:rPr>
        </w:r>
        <w:r>
          <w:rPr>
            <w:noProof/>
            <w:webHidden/>
          </w:rPr>
          <w:fldChar w:fldCharType="separate"/>
        </w:r>
        <w:r>
          <w:rPr>
            <w:noProof/>
            <w:webHidden/>
          </w:rPr>
          <w:t>9</w:t>
        </w:r>
        <w:r>
          <w:rPr>
            <w:noProof/>
            <w:webHidden/>
          </w:rPr>
          <w:fldChar w:fldCharType="end"/>
        </w:r>
      </w:hyperlink>
    </w:p>
    <w:p>
      <w:pPr>
        <w:pStyle w:val="TM1"/>
        <w:tabs>
          <w:tab w:val="right" w:leader="dot" w:pos="9627"/>
        </w:tabs>
        <w:rPr>
          <w:rFonts w:asciiTheme="minorHAnsi" w:eastAsiaTheme="minorEastAsia" w:hAnsiTheme="minorHAnsi" w:cstheme="minorBidi"/>
          <w:b w:val="0"/>
          <w:caps w:val="0"/>
          <w:sz w:val="22"/>
          <w:szCs w:val="22"/>
        </w:rPr>
      </w:pPr>
      <w:hyperlink w:anchor="_Toc92353825" w:history="1">
        <w:r>
          <w:rPr>
            <w:rStyle w:val="Lienhypertexte"/>
          </w:rPr>
          <w:t>2. Scenarios sur la collecte et le traitement des eaux usées</w:t>
        </w:r>
        <w:r>
          <w:rPr>
            <w:webHidden/>
          </w:rPr>
          <w:tab/>
        </w:r>
        <w:r>
          <w:rPr>
            <w:webHidden/>
          </w:rPr>
          <w:fldChar w:fldCharType="begin"/>
        </w:r>
        <w:r>
          <w:rPr>
            <w:webHidden/>
          </w:rPr>
          <w:instrText xml:space="preserve"> PAGEREF _Toc92353825 \h </w:instrText>
        </w:r>
        <w:r>
          <w:rPr>
            <w:webHidden/>
          </w:rPr>
        </w:r>
        <w:r>
          <w:rPr>
            <w:webHidden/>
          </w:rPr>
          <w:fldChar w:fldCharType="separate"/>
        </w:r>
        <w:r>
          <w:rPr>
            <w:webHidden/>
          </w:rPr>
          <w:t>13</w:t>
        </w:r>
        <w:r>
          <w:rPr>
            <w:webHidden/>
          </w:rPr>
          <w:fldChar w:fldCharType="end"/>
        </w:r>
      </w:hyperlink>
    </w:p>
    <w:p>
      <w:pPr>
        <w:pStyle w:val="TM2"/>
        <w:tabs>
          <w:tab w:val="right" w:leader="dot" w:pos="9627"/>
        </w:tabs>
        <w:rPr>
          <w:rFonts w:asciiTheme="minorHAnsi" w:eastAsiaTheme="minorEastAsia" w:hAnsiTheme="minorHAnsi" w:cstheme="minorBidi"/>
          <w:b w:val="0"/>
          <w:sz w:val="22"/>
          <w:szCs w:val="22"/>
        </w:rPr>
      </w:pPr>
      <w:hyperlink w:anchor="_Toc92353826" w:history="1">
        <w:r>
          <w:rPr>
            <w:rStyle w:val="Lienhypertexte"/>
          </w:rPr>
          <w:t>2.1. Zonage d’assainissement</w:t>
        </w:r>
        <w:r>
          <w:rPr>
            <w:webHidden/>
          </w:rPr>
          <w:tab/>
        </w:r>
        <w:r>
          <w:rPr>
            <w:webHidden/>
          </w:rPr>
          <w:fldChar w:fldCharType="begin"/>
        </w:r>
        <w:r>
          <w:rPr>
            <w:webHidden/>
          </w:rPr>
          <w:instrText xml:space="preserve"> PAGEREF _Toc92353826 \h </w:instrText>
        </w:r>
        <w:r>
          <w:rPr>
            <w:webHidden/>
          </w:rPr>
        </w:r>
        <w:r>
          <w:rPr>
            <w:webHidden/>
          </w:rPr>
          <w:fldChar w:fldCharType="separate"/>
        </w:r>
        <w:r>
          <w:rPr>
            <w:webHidden/>
          </w:rPr>
          <w:t>13</w:t>
        </w:r>
        <w:r>
          <w:rPr>
            <w:webHidden/>
          </w:rPr>
          <w:fldChar w:fldCharType="end"/>
        </w:r>
      </w:hyperlink>
    </w:p>
    <w:p>
      <w:pPr>
        <w:pStyle w:val="TM2"/>
        <w:tabs>
          <w:tab w:val="right" w:leader="dot" w:pos="9627"/>
        </w:tabs>
        <w:rPr>
          <w:rFonts w:asciiTheme="minorHAnsi" w:eastAsiaTheme="minorEastAsia" w:hAnsiTheme="minorHAnsi" w:cstheme="minorBidi"/>
          <w:b w:val="0"/>
          <w:sz w:val="22"/>
          <w:szCs w:val="22"/>
        </w:rPr>
      </w:pPr>
      <w:hyperlink w:anchor="_Toc92353827" w:history="1">
        <w:r>
          <w:rPr>
            <w:rStyle w:val="Lienhypertexte"/>
          </w:rPr>
          <w:t>2.2. Scénarios d’extension de réseau de collecte</w:t>
        </w:r>
        <w:r>
          <w:rPr>
            <w:webHidden/>
          </w:rPr>
          <w:tab/>
        </w:r>
        <w:r>
          <w:rPr>
            <w:webHidden/>
          </w:rPr>
          <w:fldChar w:fldCharType="begin"/>
        </w:r>
        <w:r>
          <w:rPr>
            <w:webHidden/>
          </w:rPr>
          <w:instrText xml:space="preserve"> PAGEREF _Toc92353827 \h </w:instrText>
        </w:r>
        <w:r>
          <w:rPr>
            <w:webHidden/>
          </w:rPr>
        </w:r>
        <w:r>
          <w:rPr>
            <w:webHidden/>
          </w:rPr>
          <w:fldChar w:fldCharType="separate"/>
        </w:r>
        <w:r>
          <w:rPr>
            <w:webHidden/>
          </w:rPr>
          <w:t>13</w:t>
        </w:r>
        <w:r>
          <w:rPr>
            <w:webHidden/>
          </w:rPr>
          <w:fldChar w:fldCharType="end"/>
        </w:r>
      </w:hyperlink>
    </w:p>
    <w:p>
      <w:pPr>
        <w:pStyle w:val="TM2"/>
        <w:tabs>
          <w:tab w:val="right" w:leader="dot" w:pos="9627"/>
        </w:tabs>
        <w:rPr>
          <w:rFonts w:asciiTheme="minorHAnsi" w:eastAsiaTheme="minorEastAsia" w:hAnsiTheme="minorHAnsi" w:cstheme="minorBidi"/>
          <w:b w:val="0"/>
          <w:sz w:val="22"/>
          <w:szCs w:val="22"/>
        </w:rPr>
      </w:pPr>
      <w:hyperlink w:anchor="_Toc92353828" w:history="1">
        <w:r>
          <w:rPr>
            <w:rStyle w:val="Lienhypertexte"/>
          </w:rPr>
          <w:t>2.3. Traitement des eaux usées</w:t>
        </w:r>
        <w:r>
          <w:rPr>
            <w:webHidden/>
          </w:rPr>
          <w:tab/>
        </w:r>
        <w:r>
          <w:rPr>
            <w:webHidden/>
          </w:rPr>
          <w:fldChar w:fldCharType="begin"/>
        </w:r>
        <w:r>
          <w:rPr>
            <w:webHidden/>
          </w:rPr>
          <w:instrText xml:space="preserve"> PAGEREF _Toc92353828 \h </w:instrText>
        </w:r>
        <w:r>
          <w:rPr>
            <w:webHidden/>
          </w:rPr>
        </w:r>
        <w:r>
          <w:rPr>
            <w:webHidden/>
          </w:rPr>
          <w:fldChar w:fldCharType="separate"/>
        </w:r>
        <w:r>
          <w:rPr>
            <w:webHidden/>
          </w:rPr>
          <w:t>17</w:t>
        </w:r>
        <w:r>
          <w:rPr>
            <w:webHidden/>
          </w:rPr>
          <w:fldChar w:fldCharType="end"/>
        </w:r>
      </w:hyperlink>
    </w:p>
    <w:p>
      <w:pPr>
        <w:pStyle w:val="TM3"/>
        <w:tabs>
          <w:tab w:val="right" w:leader="dot" w:pos="9627"/>
        </w:tabs>
        <w:rPr>
          <w:rFonts w:asciiTheme="minorHAnsi" w:eastAsiaTheme="minorEastAsia" w:hAnsiTheme="minorHAnsi" w:cstheme="minorBidi"/>
          <w:noProof/>
          <w:sz w:val="22"/>
          <w:szCs w:val="22"/>
        </w:rPr>
      </w:pPr>
      <w:hyperlink w:anchor="_Toc92353829" w:history="1">
        <w:r>
          <w:rPr>
            <w:rStyle w:val="Lienhypertexte"/>
            <w:noProof/>
          </w:rPr>
          <w:t>2.3.1. Charges à considérer</w:t>
        </w:r>
        <w:r>
          <w:rPr>
            <w:noProof/>
            <w:webHidden/>
          </w:rPr>
          <w:tab/>
        </w:r>
        <w:r>
          <w:rPr>
            <w:noProof/>
            <w:webHidden/>
          </w:rPr>
          <w:fldChar w:fldCharType="begin"/>
        </w:r>
        <w:r>
          <w:rPr>
            <w:noProof/>
            <w:webHidden/>
          </w:rPr>
          <w:instrText xml:space="preserve"> PAGEREF _Toc92353829 \h </w:instrText>
        </w:r>
        <w:r>
          <w:rPr>
            <w:noProof/>
            <w:webHidden/>
          </w:rPr>
        </w:r>
        <w:r>
          <w:rPr>
            <w:noProof/>
            <w:webHidden/>
          </w:rPr>
          <w:fldChar w:fldCharType="separate"/>
        </w:r>
        <w:r>
          <w:rPr>
            <w:noProof/>
            <w:webHidden/>
          </w:rPr>
          <w:t>17</w:t>
        </w:r>
        <w:r>
          <w:rPr>
            <w:noProof/>
            <w:webHidden/>
          </w:rPr>
          <w:fldChar w:fldCharType="end"/>
        </w:r>
      </w:hyperlink>
    </w:p>
    <w:p>
      <w:pPr>
        <w:pStyle w:val="TM3"/>
        <w:tabs>
          <w:tab w:val="right" w:leader="dot" w:pos="9627"/>
        </w:tabs>
        <w:rPr>
          <w:rFonts w:asciiTheme="minorHAnsi" w:eastAsiaTheme="minorEastAsia" w:hAnsiTheme="minorHAnsi" w:cstheme="minorBidi"/>
          <w:noProof/>
          <w:sz w:val="22"/>
          <w:szCs w:val="22"/>
        </w:rPr>
      </w:pPr>
      <w:hyperlink w:anchor="_Toc92353830" w:history="1">
        <w:r>
          <w:rPr>
            <w:rStyle w:val="Lienhypertexte"/>
            <w:noProof/>
          </w:rPr>
          <w:t>2.3.2. Réduction des eaux parasites</w:t>
        </w:r>
        <w:r>
          <w:rPr>
            <w:noProof/>
            <w:webHidden/>
          </w:rPr>
          <w:tab/>
        </w:r>
        <w:r>
          <w:rPr>
            <w:noProof/>
            <w:webHidden/>
          </w:rPr>
          <w:fldChar w:fldCharType="begin"/>
        </w:r>
        <w:r>
          <w:rPr>
            <w:noProof/>
            <w:webHidden/>
          </w:rPr>
          <w:instrText xml:space="preserve"> PAGEREF _Toc92353830 \h </w:instrText>
        </w:r>
        <w:r>
          <w:rPr>
            <w:noProof/>
            <w:webHidden/>
          </w:rPr>
        </w:r>
        <w:r>
          <w:rPr>
            <w:noProof/>
            <w:webHidden/>
          </w:rPr>
          <w:fldChar w:fldCharType="separate"/>
        </w:r>
        <w:r>
          <w:rPr>
            <w:noProof/>
            <w:webHidden/>
          </w:rPr>
          <w:t>18</w:t>
        </w:r>
        <w:r>
          <w:rPr>
            <w:noProof/>
            <w:webHidden/>
          </w:rPr>
          <w:fldChar w:fldCharType="end"/>
        </w:r>
      </w:hyperlink>
    </w:p>
    <w:p>
      <w:pPr>
        <w:pStyle w:val="TM3"/>
        <w:tabs>
          <w:tab w:val="right" w:leader="dot" w:pos="9627"/>
        </w:tabs>
        <w:rPr>
          <w:rFonts w:asciiTheme="minorHAnsi" w:eastAsiaTheme="minorEastAsia" w:hAnsiTheme="minorHAnsi" w:cstheme="minorBidi"/>
          <w:noProof/>
          <w:sz w:val="22"/>
          <w:szCs w:val="22"/>
        </w:rPr>
      </w:pPr>
      <w:hyperlink w:anchor="_Toc92353831" w:history="1">
        <w:r>
          <w:rPr>
            <w:rStyle w:val="Lienhypertexte"/>
            <w:noProof/>
          </w:rPr>
          <w:t>2.3.3. Bilan des charges futures 2055 collectées vers la STEU après suppression des eaux parasites</w:t>
        </w:r>
        <w:r>
          <w:rPr>
            <w:noProof/>
            <w:webHidden/>
          </w:rPr>
          <w:tab/>
        </w:r>
        <w:r>
          <w:rPr>
            <w:noProof/>
            <w:webHidden/>
          </w:rPr>
          <w:fldChar w:fldCharType="begin"/>
        </w:r>
        <w:r>
          <w:rPr>
            <w:noProof/>
            <w:webHidden/>
          </w:rPr>
          <w:instrText xml:space="preserve"> PAGEREF _Toc92353831 \h </w:instrText>
        </w:r>
        <w:r>
          <w:rPr>
            <w:noProof/>
            <w:webHidden/>
          </w:rPr>
        </w:r>
        <w:r>
          <w:rPr>
            <w:noProof/>
            <w:webHidden/>
          </w:rPr>
          <w:fldChar w:fldCharType="separate"/>
        </w:r>
        <w:r>
          <w:rPr>
            <w:noProof/>
            <w:webHidden/>
          </w:rPr>
          <w:t>18</w:t>
        </w:r>
        <w:r>
          <w:rPr>
            <w:noProof/>
            <w:webHidden/>
          </w:rPr>
          <w:fldChar w:fldCharType="end"/>
        </w:r>
      </w:hyperlink>
    </w:p>
    <w:p>
      <w:pPr>
        <w:pStyle w:val="TM3"/>
        <w:tabs>
          <w:tab w:val="right" w:leader="dot" w:pos="9627"/>
        </w:tabs>
        <w:rPr>
          <w:rFonts w:asciiTheme="minorHAnsi" w:eastAsiaTheme="minorEastAsia" w:hAnsiTheme="minorHAnsi" w:cstheme="minorBidi"/>
          <w:noProof/>
          <w:sz w:val="22"/>
          <w:szCs w:val="22"/>
        </w:rPr>
      </w:pPr>
      <w:hyperlink w:anchor="_Toc92353832" w:history="1">
        <w:r>
          <w:rPr>
            <w:rStyle w:val="Lienhypertexte"/>
            <w:noProof/>
          </w:rPr>
          <w:t>2.3.4. Synthèse</w:t>
        </w:r>
        <w:r>
          <w:rPr>
            <w:noProof/>
            <w:webHidden/>
          </w:rPr>
          <w:tab/>
        </w:r>
        <w:r>
          <w:rPr>
            <w:noProof/>
            <w:webHidden/>
          </w:rPr>
          <w:fldChar w:fldCharType="begin"/>
        </w:r>
        <w:r>
          <w:rPr>
            <w:noProof/>
            <w:webHidden/>
          </w:rPr>
          <w:instrText xml:space="preserve"> PAGEREF _Toc92353832 \h </w:instrText>
        </w:r>
        <w:r>
          <w:rPr>
            <w:noProof/>
            <w:webHidden/>
          </w:rPr>
        </w:r>
        <w:r>
          <w:rPr>
            <w:noProof/>
            <w:webHidden/>
          </w:rPr>
          <w:fldChar w:fldCharType="separate"/>
        </w:r>
        <w:r>
          <w:rPr>
            <w:noProof/>
            <w:webHidden/>
          </w:rPr>
          <w:t>20</w:t>
        </w:r>
        <w:r>
          <w:rPr>
            <w:noProof/>
            <w:webHidden/>
          </w:rPr>
          <w:fldChar w:fldCharType="end"/>
        </w:r>
      </w:hyperlink>
    </w:p>
    <w:p>
      <w:pPr>
        <w:pStyle w:val="TM1"/>
        <w:tabs>
          <w:tab w:val="right" w:leader="dot" w:pos="9627"/>
        </w:tabs>
        <w:rPr>
          <w:rFonts w:asciiTheme="minorHAnsi" w:eastAsiaTheme="minorEastAsia" w:hAnsiTheme="minorHAnsi" w:cstheme="minorBidi"/>
          <w:b w:val="0"/>
          <w:caps w:val="0"/>
          <w:sz w:val="22"/>
          <w:szCs w:val="22"/>
        </w:rPr>
      </w:pPr>
      <w:hyperlink w:anchor="_Toc92353833" w:history="1">
        <w:r>
          <w:rPr>
            <w:rStyle w:val="Lienhypertexte"/>
          </w:rPr>
          <w:t>3. Programme de travaux</w:t>
        </w:r>
        <w:r>
          <w:rPr>
            <w:webHidden/>
          </w:rPr>
          <w:tab/>
        </w:r>
        <w:r>
          <w:rPr>
            <w:webHidden/>
          </w:rPr>
          <w:fldChar w:fldCharType="begin"/>
        </w:r>
        <w:r>
          <w:rPr>
            <w:webHidden/>
          </w:rPr>
          <w:instrText xml:space="preserve"> PAGEREF _Toc92353833 \h </w:instrText>
        </w:r>
        <w:r>
          <w:rPr>
            <w:webHidden/>
          </w:rPr>
        </w:r>
        <w:r>
          <w:rPr>
            <w:webHidden/>
          </w:rPr>
          <w:fldChar w:fldCharType="separate"/>
        </w:r>
        <w:r>
          <w:rPr>
            <w:webHidden/>
          </w:rPr>
          <w:t>21</w:t>
        </w:r>
        <w:r>
          <w:rPr>
            <w:webHidden/>
          </w:rPr>
          <w:fldChar w:fldCharType="end"/>
        </w:r>
      </w:hyperlink>
    </w:p>
    <w:p>
      <w:pPr>
        <w:pStyle w:val="TM2"/>
        <w:tabs>
          <w:tab w:val="right" w:leader="dot" w:pos="9627"/>
        </w:tabs>
        <w:rPr>
          <w:rFonts w:asciiTheme="minorHAnsi" w:eastAsiaTheme="minorEastAsia" w:hAnsiTheme="minorHAnsi" w:cstheme="minorBidi"/>
          <w:b w:val="0"/>
          <w:sz w:val="22"/>
          <w:szCs w:val="22"/>
        </w:rPr>
      </w:pPr>
      <w:hyperlink w:anchor="_Toc92353834" w:history="1">
        <w:r>
          <w:rPr>
            <w:rStyle w:val="Lienhypertexte"/>
          </w:rPr>
          <w:t>3.1. Structure du programme de travaux</w:t>
        </w:r>
        <w:r>
          <w:rPr>
            <w:webHidden/>
          </w:rPr>
          <w:tab/>
        </w:r>
        <w:r>
          <w:rPr>
            <w:webHidden/>
          </w:rPr>
          <w:fldChar w:fldCharType="begin"/>
        </w:r>
        <w:r>
          <w:rPr>
            <w:webHidden/>
          </w:rPr>
          <w:instrText xml:space="preserve"> PAGEREF _Toc92353834 \h </w:instrText>
        </w:r>
        <w:r>
          <w:rPr>
            <w:webHidden/>
          </w:rPr>
        </w:r>
        <w:r>
          <w:rPr>
            <w:webHidden/>
          </w:rPr>
          <w:fldChar w:fldCharType="separate"/>
        </w:r>
        <w:r>
          <w:rPr>
            <w:webHidden/>
          </w:rPr>
          <w:t>21</w:t>
        </w:r>
        <w:r>
          <w:rPr>
            <w:webHidden/>
          </w:rPr>
          <w:fldChar w:fldCharType="end"/>
        </w:r>
      </w:hyperlink>
    </w:p>
    <w:p>
      <w:pPr>
        <w:pStyle w:val="TM2"/>
        <w:tabs>
          <w:tab w:val="right" w:leader="dot" w:pos="9627"/>
        </w:tabs>
        <w:rPr>
          <w:rFonts w:asciiTheme="minorHAnsi" w:eastAsiaTheme="minorEastAsia" w:hAnsiTheme="minorHAnsi" w:cstheme="minorBidi"/>
          <w:b w:val="0"/>
          <w:sz w:val="22"/>
          <w:szCs w:val="22"/>
        </w:rPr>
      </w:pPr>
      <w:hyperlink w:anchor="_Toc92353835" w:history="1">
        <w:r>
          <w:rPr>
            <w:rStyle w:val="Lienhypertexte"/>
          </w:rPr>
          <w:t>3.2. Thématique 1 : Suppression des eaux claires parasites de temps de pluie</w:t>
        </w:r>
        <w:r>
          <w:rPr>
            <w:webHidden/>
          </w:rPr>
          <w:tab/>
        </w:r>
        <w:r>
          <w:rPr>
            <w:webHidden/>
          </w:rPr>
          <w:fldChar w:fldCharType="begin"/>
        </w:r>
        <w:r>
          <w:rPr>
            <w:webHidden/>
          </w:rPr>
          <w:instrText xml:space="preserve"> PAGEREF _Toc92353835 \h </w:instrText>
        </w:r>
        <w:r>
          <w:rPr>
            <w:webHidden/>
          </w:rPr>
        </w:r>
        <w:r>
          <w:rPr>
            <w:webHidden/>
          </w:rPr>
          <w:fldChar w:fldCharType="separate"/>
        </w:r>
        <w:r>
          <w:rPr>
            <w:webHidden/>
          </w:rPr>
          <w:t>22</w:t>
        </w:r>
        <w:r>
          <w:rPr>
            <w:webHidden/>
          </w:rPr>
          <w:fldChar w:fldCharType="end"/>
        </w:r>
      </w:hyperlink>
    </w:p>
    <w:p>
      <w:pPr>
        <w:pStyle w:val="TM3"/>
        <w:tabs>
          <w:tab w:val="right" w:leader="dot" w:pos="9627"/>
        </w:tabs>
        <w:rPr>
          <w:rFonts w:asciiTheme="minorHAnsi" w:eastAsiaTheme="minorEastAsia" w:hAnsiTheme="minorHAnsi" w:cstheme="minorBidi"/>
          <w:noProof/>
          <w:sz w:val="22"/>
          <w:szCs w:val="22"/>
        </w:rPr>
      </w:pPr>
      <w:hyperlink w:anchor="_Toc92353836" w:history="1">
        <w:r>
          <w:rPr>
            <w:rStyle w:val="Lienhypertexte"/>
            <w:noProof/>
          </w:rPr>
          <w:t>3.2.1. Action 1 : Déconnexion et suppression des surfaces actives raccordées au système de collecte – hors boite de branchement et regard</w:t>
        </w:r>
        <w:r>
          <w:rPr>
            <w:noProof/>
            <w:webHidden/>
          </w:rPr>
          <w:tab/>
        </w:r>
        <w:r>
          <w:rPr>
            <w:noProof/>
            <w:webHidden/>
          </w:rPr>
          <w:fldChar w:fldCharType="begin"/>
        </w:r>
        <w:r>
          <w:rPr>
            <w:noProof/>
            <w:webHidden/>
          </w:rPr>
          <w:instrText xml:space="preserve"> PAGEREF _Toc92353836 \h </w:instrText>
        </w:r>
        <w:r>
          <w:rPr>
            <w:noProof/>
            <w:webHidden/>
          </w:rPr>
        </w:r>
        <w:r>
          <w:rPr>
            <w:noProof/>
            <w:webHidden/>
          </w:rPr>
          <w:fldChar w:fldCharType="separate"/>
        </w:r>
        <w:r>
          <w:rPr>
            <w:noProof/>
            <w:webHidden/>
          </w:rPr>
          <w:t>22</w:t>
        </w:r>
        <w:r>
          <w:rPr>
            <w:noProof/>
            <w:webHidden/>
          </w:rPr>
          <w:fldChar w:fldCharType="end"/>
        </w:r>
      </w:hyperlink>
    </w:p>
    <w:p>
      <w:pPr>
        <w:pStyle w:val="TM3"/>
        <w:tabs>
          <w:tab w:val="right" w:leader="dot" w:pos="9627"/>
        </w:tabs>
        <w:rPr>
          <w:rFonts w:asciiTheme="minorHAnsi" w:eastAsiaTheme="minorEastAsia" w:hAnsiTheme="minorHAnsi" w:cstheme="minorBidi"/>
          <w:noProof/>
          <w:sz w:val="22"/>
          <w:szCs w:val="22"/>
        </w:rPr>
      </w:pPr>
      <w:hyperlink w:anchor="_Toc92353837" w:history="1">
        <w:r>
          <w:rPr>
            <w:rStyle w:val="Lienhypertexte"/>
            <w:noProof/>
          </w:rPr>
          <w:t>3.2.2. Action 2 : Réhabilitation des tampons de regards de visite ou de branchements responsables d'apports d'eaux claires parasites</w:t>
        </w:r>
        <w:r>
          <w:rPr>
            <w:noProof/>
            <w:webHidden/>
          </w:rPr>
          <w:tab/>
        </w:r>
        <w:r>
          <w:rPr>
            <w:noProof/>
            <w:webHidden/>
          </w:rPr>
          <w:fldChar w:fldCharType="begin"/>
        </w:r>
        <w:r>
          <w:rPr>
            <w:noProof/>
            <w:webHidden/>
          </w:rPr>
          <w:instrText xml:space="preserve"> PAGEREF _Toc92353837 \h </w:instrText>
        </w:r>
        <w:r>
          <w:rPr>
            <w:noProof/>
            <w:webHidden/>
          </w:rPr>
        </w:r>
        <w:r>
          <w:rPr>
            <w:noProof/>
            <w:webHidden/>
          </w:rPr>
          <w:fldChar w:fldCharType="separate"/>
        </w:r>
        <w:r>
          <w:rPr>
            <w:noProof/>
            <w:webHidden/>
          </w:rPr>
          <w:t>23</w:t>
        </w:r>
        <w:r>
          <w:rPr>
            <w:noProof/>
            <w:webHidden/>
          </w:rPr>
          <w:fldChar w:fldCharType="end"/>
        </w:r>
      </w:hyperlink>
    </w:p>
    <w:p>
      <w:pPr>
        <w:pStyle w:val="TM3"/>
        <w:tabs>
          <w:tab w:val="right" w:leader="dot" w:pos="9627"/>
        </w:tabs>
        <w:rPr>
          <w:rFonts w:asciiTheme="minorHAnsi" w:eastAsiaTheme="minorEastAsia" w:hAnsiTheme="minorHAnsi" w:cstheme="minorBidi"/>
          <w:noProof/>
          <w:sz w:val="22"/>
          <w:szCs w:val="22"/>
        </w:rPr>
      </w:pPr>
      <w:hyperlink w:anchor="_Toc92353838" w:history="1">
        <w:r>
          <w:rPr>
            <w:rStyle w:val="Lienhypertexte"/>
            <w:noProof/>
          </w:rPr>
          <w:t>3.2.3. Action 3 : Réalisation d’un programme de contrôle des branchements particuliers dont les anomalies n’ont pu être constatées lors des tests à la fumée</w:t>
        </w:r>
        <w:r>
          <w:rPr>
            <w:noProof/>
            <w:webHidden/>
          </w:rPr>
          <w:tab/>
        </w:r>
        <w:r>
          <w:rPr>
            <w:noProof/>
            <w:webHidden/>
          </w:rPr>
          <w:fldChar w:fldCharType="begin"/>
        </w:r>
        <w:r>
          <w:rPr>
            <w:noProof/>
            <w:webHidden/>
          </w:rPr>
          <w:instrText xml:space="preserve"> PAGEREF _Toc92353838 \h </w:instrText>
        </w:r>
        <w:r>
          <w:rPr>
            <w:noProof/>
            <w:webHidden/>
          </w:rPr>
        </w:r>
        <w:r>
          <w:rPr>
            <w:noProof/>
            <w:webHidden/>
          </w:rPr>
          <w:fldChar w:fldCharType="separate"/>
        </w:r>
        <w:r>
          <w:rPr>
            <w:noProof/>
            <w:webHidden/>
          </w:rPr>
          <w:t>26</w:t>
        </w:r>
        <w:r>
          <w:rPr>
            <w:noProof/>
            <w:webHidden/>
          </w:rPr>
          <w:fldChar w:fldCharType="end"/>
        </w:r>
      </w:hyperlink>
    </w:p>
    <w:p>
      <w:pPr>
        <w:pStyle w:val="TM2"/>
        <w:tabs>
          <w:tab w:val="right" w:leader="dot" w:pos="9627"/>
        </w:tabs>
        <w:rPr>
          <w:rFonts w:asciiTheme="minorHAnsi" w:eastAsiaTheme="minorEastAsia" w:hAnsiTheme="minorHAnsi" w:cstheme="minorBidi"/>
          <w:b w:val="0"/>
          <w:sz w:val="22"/>
          <w:szCs w:val="22"/>
        </w:rPr>
      </w:pPr>
      <w:hyperlink w:anchor="_Toc92353839" w:history="1">
        <w:r>
          <w:rPr>
            <w:rStyle w:val="Lienhypertexte"/>
          </w:rPr>
          <w:t>3.3. Thématique 2 : Suppression des eaux claires parasites de temps sec et/ou ressuyage</w:t>
        </w:r>
        <w:r>
          <w:rPr>
            <w:webHidden/>
          </w:rPr>
          <w:tab/>
        </w:r>
        <w:r>
          <w:rPr>
            <w:webHidden/>
          </w:rPr>
          <w:fldChar w:fldCharType="begin"/>
        </w:r>
        <w:r>
          <w:rPr>
            <w:webHidden/>
          </w:rPr>
          <w:instrText xml:space="preserve"> PAGEREF _Toc92353839 \h </w:instrText>
        </w:r>
        <w:r>
          <w:rPr>
            <w:webHidden/>
          </w:rPr>
        </w:r>
        <w:r>
          <w:rPr>
            <w:webHidden/>
          </w:rPr>
          <w:fldChar w:fldCharType="separate"/>
        </w:r>
        <w:r>
          <w:rPr>
            <w:webHidden/>
          </w:rPr>
          <w:t>26</w:t>
        </w:r>
        <w:r>
          <w:rPr>
            <w:webHidden/>
          </w:rPr>
          <w:fldChar w:fldCharType="end"/>
        </w:r>
      </w:hyperlink>
    </w:p>
    <w:p>
      <w:pPr>
        <w:pStyle w:val="TM3"/>
        <w:tabs>
          <w:tab w:val="right" w:leader="dot" w:pos="9627"/>
        </w:tabs>
        <w:rPr>
          <w:rFonts w:asciiTheme="minorHAnsi" w:eastAsiaTheme="minorEastAsia" w:hAnsiTheme="minorHAnsi" w:cstheme="minorBidi"/>
          <w:noProof/>
          <w:sz w:val="22"/>
          <w:szCs w:val="22"/>
        </w:rPr>
      </w:pPr>
      <w:hyperlink w:anchor="_Toc92353840" w:history="1">
        <w:r>
          <w:rPr>
            <w:rStyle w:val="Lienhypertexte"/>
            <w:noProof/>
          </w:rPr>
          <w:t>3.3.1. Action n°4 : Réhabilitation ou renouvellement des tronçons responsables d'apports d'eaux claires parasites</w:t>
        </w:r>
        <w:r>
          <w:rPr>
            <w:noProof/>
            <w:webHidden/>
          </w:rPr>
          <w:tab/>
        </w:r>
        <w:r>
          <w:rPr>
            <w:noProof/>
            <w:webHidden/>
          </w:rPr>
          <w:fldChar w:fldCharType="begin"/>
        </w:r>
        <w:r>
          <w:rPr>
            <w:noProof/>
            <w:webHidden/>
          </w:rPr>
          <w:instrText xml:space="preserve"> PAGEREF _Toc92353840 \h </w:instrText>
        </w:r>
        <w:r>
          <w:rPr>
            <w:noProof/>
            <w:webHidden/>
          </w:rPr>
        </w:r>
        <w:r>
          <w:rPr>
            <w:noProof/>
            <w:webHidden/>
          </w:rPr>
          <w:fldChar w:fldCharType="separate"/>
        </w:r>
        <w:r>
          <w:rPr>
            <w:noProof/>
            <w:webHidden/>
          </w:rPr>
          <w:t>26</w:t>
        </w:r>
        <w:r>
          <w:rPr>
            <w:noProof/>
            <w:webHidden/>
          </w:rPr>
          <w:fldChar w:fldCharType="end"/>
        </w:r>
      </w:hyperlink>
    </w:p>
    <w:p>
      <w:pPr>
        <w:pStyle w:val="TM3"/>
        <w:tabs>
          <w:tab w:val="right" w:leader="dot" w:pos="9627"/>
        </w:tabs>
        <w:rPr>
          <w:rFonts w:asciiTheme="minorHAnsi" w:eastAsiaTheme="minorEastAsia" w:hAnsiTheme="minorHAnsi" w:cstheme="minorBidi"/>
          <w:noProof/>
          <w:sz w:val="22"/>
          <w:szCs w:val="22"/>
        </w:rPr>
      </w:pPr>
      <w:hyperlink w:anchor="_Toc92353841" w:history="1">
        <w:r>
          <w:rPr>
            <w:rStyle w:val="Lienhypertexte"/>
            <w:noProof/>
          </w:rPr>
          <w:t>3.3.2. Action n°5 : Réhabilitation des regards de visite sensibles aux eaux claires parasites</w:t>
        </w:r>
        <w:r>
          <w:rPr>
            <w:noProof/>
            <w:webHidden/>
          </w:rPr>
          <w:tab/>
        </w:r>
        <w:r>
          <w:rPr>
            <w:noProof/>
            <w:webHidden/>
          </w:rPr>
          <w:fldChar w:fldCharType="begin"/>
        </w:r>
        <w:r>
          <w:rPr>
            <w:noProof/>
            <w:webHidden/>
          </w:rPr>
          <w:instrText xml:space="preserve"> PAGEREF _Toc92353841 \h </w:instrText>
        </w:r>
        <w:r>
          <w:rPr>
            <w:noProof/>
            <w:webHidden/>
          </w:rPr>
        </w:r>
        <w:r>
          <w:rPr>
            <w:noProof/>
            <w:webHidden/>
          </w:rPr>
          <w:fldChar w:fldCharType="separate"/>
        </w:r>
        <w:r>
          <w:rPr>
            <w:noProof/>
            <w:webHidden/>
          </w:rPr>
          <w:t>27</w:t>
        </w:r>
        <w:r>
          <w:rPr>
            <w:noProof/>
            <w:webHidden/>
          </w:rPr>
          <w:fldChar w:fldCharType="end"/>
        </w:r>
      </w:hyperlink>
    </w:p>
    <w:p>
      <w:pPr>
        <w:pStyle w:val="TM2"/>
        <w:tabs>
          <w:tab w:val="right" w:leader="dot" w:pos="9627"/>
        </w:tabs>
        <w:rPr>
          <w:rFonts w:asciiTheme="minorHAnsi" w:eastAsiaTheme="minorEastAsia" w:hAnsiTheme="minorHAnsi" w:cstheme="minorBidi"/>
          <w:b w:val="0"/>
          <w:sz w:val="22"/>
          <w:szCs w:val="22"/>
        </w:rPr>
      </w:pPr>
      <w:hyperlink w:anchor="_Toc92353842" w:history="1">
        <w:r>
          <w:rPr>
            <w:rStyle w:val="Lienhypertexte"/>
          </w:rPr>
          <w:t>3.4. Thématique 3 : Réhabilitation des réseaux et regards de visite</w:t>
        </w:r>
        <w:r>
          <w:rPr>
            <w:webHidden/>
          </w:rPr>
          <w:tab/>
        </w:r>
        <w:r>
          <w:rPr>
            <w:webHidden/>
          </w:rPr>
          <w:fldChar w:fldCharType="begin"/>
        </w:r>
        <w:r>
          <w:rPr>
            <w:webHidden/>
          </w:rPr>
          <w:instrText xml:space="preserve"> PAGEREF _Toc92353842 \h </w:instrText>
        </w:r>
        <w:r>
          <w:rPr>
            <w:webHidden/>
          </w:rPr>
        </w:r>
        <w:r>
          <w:rPr>
            <w:webHidden/>
          </w:rPr>
          <w:fldChar w:fldCharType="separate"/>
        </w:r>
        <w:r>
          <w:rPr>
            <w:webHidden/>
          </w:rPr>
          <w:t>28</w:t>
        </w:r>
        <w:r>
          <w:rPr>
            <w:webHidden/>
          </w:rPr>
          <w:fldChar w:fldCharType="end"/>
        </w:r>
      </w:hyperlink>
    </w:p>
    <w:p>
      <w:pPr>
        <w:pStyle w:val="TM3"/>
        <w:tabs>
          <w:tab w:val="right" w:leader="dot" w:pos="9627"/>
        </w:tabs>
        <w:rPr>
          <w:rFonts w:asciiTheme="minorHAnsi" w:eastAsiaTheme="minorEastAsia" w:hAnsiTheme="minorHAnsi" w:cstheme="minorBidi"/>
          <w:noProof/>
          <w:sz w:val="22"/>
          <w:szCs w:val="22"/>
        </w:rPr>
      </w:pPr>
      <w:hyperlink w:anchor="_Toc92353843" w:history="1">
        <w:r>
          <w:rPr>
            <w:rStyle w:val="Lienhypertexte"/>
            <w:noProof/>
          </w:rPr>
          <w:t>3.4.1. Action n°6 : Réhabilitation des réseaux</w:t>
        </w:r>
        <w:r>
          <w:rPr>
            <w:noProof/>
            <w:webHidden/>
          </w:rPr>
          <w:tab/>
        </w:r>
        <w:r>
          <w:rPr>
            <w:noProof/>
            <w:webHidden/>
          </w:rPr>
          <w:fldChar w:fldCharType="begin"/>
        </w:r>
        <w:r>
          <w:rPr>
            <w:noProof/>
            <w:webHidden/>
          </w:rPr>
          <w:instrText xml:space="preserve"> PAGEREF _Toc92353843 \h </w:instrText>
        </w:r>
        <w:r>
          <w:rPr>
            <w:noProof/>
            <w:webHidden/>
          </w:rPr>
        </w:r>
        <w:r>
          <w:rPr>
            <w:noProof/>
            <w:webHidden/>
          </w:rPr>
          <w:fldChar w:fldCharType="separate"/>
        </w:r>
        <w:r>
          <w:rPr>
            <w:noProof/>
            <w:webHidden/>
          </w:rPr>
          <w:t>28</w:t>
        </w:r>
        <w:r>
          <w:rPr>
            <w:noProof/>
            <w:webHidden/>
          </w:rPr>
          <w:fldChar w:fldCharType="end"/>
        </w:r>
      </w:hyperlink>
    </w:p>
    <w:p>
      <w:pPr>
        <w:pStyle w:val="TM3"/>
        <w:tabs>
          <w:tab w:val="right" w:leader="dot" w:pos="9627"/>
        </w:tabs>
        <w:rPr>
          <w:rFonts w:asciiTheme="minorHAnsi" w:eastAsiaTheme="minorEastAsia" w:hAnsiTheme="minorHAnsi" w:cstheme="minorBidi"/>
          <w:noProof/>
          <w:sz w:val="22"/>
          <w:szCs w:val="22"/>
        </w:rPr>
      </w:pPr>
      <w:hyperlink w:anchor="_Toc92353844" w:history="1">
        <w:r>
          <w:rPr>
            <w:rStyle w:val="Lienhypertexte"/>
            <w:noProof/>
          </w:rPr>
          <w:t>3.4.2. Action n°7 : Réhabilitation des regards de visite vétustes non étanches et/ou présentant des anomalies structurelles</w:t>
        </w:r>
        <w:r>
          <w:rPr>
            <w:noProof/>
            <w:webHidden/>
          </w:rPr>
          <w:tab/>
        </w:r>
        <w:r>
          <w:rPr>
            <w:noProof/>
            <w:webHidden/>
          </w:rPr>
          <w:fldChar w:fldCharType="begin"/>
        </w:r>
        <w:r>
          <w:rPr>
            <w:noProof/>
            <w:webHidden/>
          </w:rPr>
          <w:instrText xml:space="preserve"> PAGEREF _Toc92353844 \h </w:instrText>
        </w:r>
        <w:r>
          <w:rPr>
            <w:noProof/>
            <w:webHidden/>
          </w:rPr>
        </w:r>
        <w:r>
          <w:rPr>
            <w:noProof/>
            <w:webHidden/>
          </w:rPr>
          <w:fldChar w:fldCharType="separate"/>
        </w:r>
        <w:r>
          <w:rPr>
            <w:noProof/>
            <w:webHidden/>
          </w:rPr>
          <w:t>28</w:t>
        </w:r>
        <w:r>
          <w:rPr>
            <w:noProof/>
            <w:webHidden/>
          </w:rPr>
          <w:fldChar w:fldCharType="end"/>
        </w:r>
      </w:hyperlink>
    </w:p>
    <w:p>
      <w:pPr>
        <w:pStyle w:val="TM2"/>
        <w:tabs>
          <w:tab w:val="right" w:leader="dot" w:pos="9627"/>
        </w:tabs>
        <w:rPr>
          <w:rFonts w:asciiTheme="minorHAnsi" w:eastAsiaTheme="minorEastAsia" w:hAnsiTheme="minorHAnsi" w:cstheme="minorBidi"/>
          <w:b w:val="0"/>
          <w:sz w:val="22"/>
          <w:szCs w:val="22"/>
        </w:rPr>
      </w:pPr>
      <w:hyperlink w:anchor="_Toc92353845" w:history="1">
        <w:r>
          <w:rPr>
            <w:rStyle w:val="Lienhypertexte"/>
          </w:rPr>
          <w:t>3.5. Thématique 4 : Réhabilitation des équipements et ouvrages (conformité réglementaire, sécurité et exploitation)</w:t>
        </w:r>
        <w:r>
          <w:rPr>
            <w:webHidden/>
          </w:rPr>
          <w:tab/>
        </w:r>
        <w:r>
          <w:rPr>
            <w:webHidden/>
          </w:rPr>
          <w:fldChar w:fldCharType="begin"/>
        </w:r>
        <w:r>
          <w:rPr>
            <w:webHidden/>
          </w:rPr>
          <w:instrText xml:space="preserve"> PAGEREF _Toc92353845 \h </w:instrText>
        </w:r>
        <w:r>
          <w:rPr>
            <w:webHidden/>
          </w:rPr>
        </w:r>
        <w:r>
          <w:rPr>
            <w:webHidden/>
          </w:rPr>
          <w:fldChar w:fldCharType="separate"/>
        </w:r>
        <w:r>
          <w:rPr>
            <w:webHidden/>
          </w:rPr>
          <w:t>29</w:t>
        </w:r>
        <w:r>
          <w:rPr>
            <w:webHidden/>
          </w:rPr>
          <w:fldChar w:fldCharType="end"/>
        </w:r>
      </w:hyperlink>
    </w:p>
    <w:p>
      <w:pPr>
        <w:pStyle w:val="TM3"/>
        <w:tabs>
          <w:tab w:val="right" w:leader="dot" w:pos="9627"/>
        </w:tabs>
        <w:rPr>
          <w:rFonts w:asciiTheme="minorHAnsi" w:eastAsiaTheme="minorEastAsia" w:hAnsiTheme="minorHAnsi" w:cstheme="minorBidi"/>
          <w:noProof/>
          <w:sz w:val="22"/>
          <w:szCs w:val="22"/>
        </w:rPr>
      </w:pPr>
      <w:hyperlink w:anchor="_Toc92353846" w:history="1">
        <w:r>
          <w:rPr>
            <w:rStyle w:val="Lienhypertexte"/>
            <w:noProof/>
          </w:rPr>
          <w:t>3.5.1. Action n°8 : Réhabilitation des postes de relevage</w:t>
        </w:r>
        <w:r>
          <w:rPr>
            <w:noProof/>
            <w:webHidden/>
          </w:rPr>
          <w:tab/>
        </w:r>
        <w:r>
          <w:rPr>
            <w:noProof/>
            <w:webHidden/>
          </w:rPr>
          <w:fldChar w:fldCharType="begin"/>
        </w:r>
        <w:r>
          <w:rPr>
            <w:noProof/>
            <w:webHidden/>
          </w:rPr>
          <w:instrText xml:space="preserve"> PAGEREF _Toc92353846 \h </w:instrText>
        </w:r>
        <w:r>
          <w:rPr>
            <w:noProof/>
            <w:webHidden/>
          </w:rPr>
        </w:r>
        <w:r>
          <w:rPr>
            <w:noProof/>
            <w:webHidden/>
          </w:rPr>
          <w:fldChar w:fldCharType="separate"/>
        </w:r>
        <w:r>
          <w:rPr>
            <w:noProof/>
            <w:webHidden/>
          </w:rPr>
          <w:t>29</w:t>
        </w:r>
        <w:r>
          <w:rPr>
            <w:noProof/>
            <w:webHidden/>
          </w:rPr>
          <w:fldChar w:fldCharType="end"/>
        </w:r>
      </w:hyperlink>
    </w:p>
    <w:p>
      <w:pPr>
        <w:pStyle w:val="TM3"/>
        <w:tabs>
          <w:tab w:val="right" w:leader="dot" w:pos="9627"/>
        </w:tabs>
        <w:rPr>
          <w:rFonts w:asciiTheme="minorHAnsi" w:eastAsiaTheme="minorEastAsia" w:hAnsiTheme="minorHAnsi" w:cstheme="minorBidi"/>
          <w:noProof/>
          <w:sz w:val="22"/>
          <w:szCs w:val="22"/>
        </w:rPr>
      </w:pPr>
      <w:hyperlink w:anchor="_Toc92353847" w:history="1">
        <w:r>
          <w:rPr>
            <w:rStyle w:val="Lienhypertexte"/>
            <w:noProof/>
          </w:rPr>
          <w:t>3.5.2. Action n°9 : Réhabilitation de l’unité de dépollution</w:t>
        </w:r>
        <w:r>
          <w:rPr>
            <w:noProof/>
            <w:webHidden/>
          </w:rPr>
          <w:tab/>
        </w:r>
        <w:r>
          <w:rPr>
            <w:noProof/>
            <w:webHidden/>
          </w:rPr>
          <w:fldChar w:fldCharType="begin"/>
        </w:r>
        <w:r>
          <w:rPr>
            <w:noProof/>
            <w:webHidden/>
          </w:rPr>
          <w:instrText xml:space="preserve"> PAGEREF _Toc92353847 \h </w:instrText>
        </w:r>
        <w:r>
          <w:rPr>
            <w:noProof/>
            <w:webHidden/>
          </w:rPr>
        </w:r>
        <w:r>
          <w:rPr>
            <w:noProof/>
            <w:webHidden/>
          </w:rPr>
          <w:fldChar w:fldCharType="separate"/>
        </w:r>
        <w:r>
          <w:rPr>
            <w:noProof/>
            <w:webHidden/>
          </w:rPr>
          <w:t>29</w:t>
        </w:r>
        <w:r>
          <w:rPr>
            <w:noProof/>
            <w:webHidden/>
          </w:rPr>
          <w:fldChar w:fldCharType="end"/>
        </w:r>
      </w:hyperlink>
    </w:p>
    <w:p>
      <w:pPr>
        <w:pStyle w:val="TM2"/>
        <w:tabs>
          <w:tab w:val="right" w:leader="dot" w:pos="9627"/>
        </w:tabs>
        <w:rPr>
          <w:rFonts w:asciiTheme="minorHAnsi" w:eastAsiaTheme="minorEastAsia" w:hAnsiTheme="minorHAnsi" w:cstheme="minorBidi"/>
          <w:b w:val="0"/>
          <w:sz w:val="22"/>
          <w:szCs w:val="22"/>
        </w:rPr>
      </w:pPr>
      <w:hyperlink w:anchor="_Toc92353848" w:history="1">
        <w:r>
          <w:rPr>
            <w:rStyle w:val="Lienhypertexte"/>
          </w:rPr>
          <w:t>3.6. Thématique 5 : Mise en place d'une gestion patrimoniale</w:t>
        </w:r>
        <w:r>
          <w:rPr>
            <w:webHidden/>
          </w:rPr>
          <w:tab/>
        </w:r>
        <w:r>
          <w:rPr>
            <w:webHidden/>
          </w:rPr>
          <w:fldChar w:fldCharType="begin"/>
        </w:r>
        <w:r>
          <w:rPr>
            <w:webHidden/>
          </w:rPr>
          <w:instrText xml:space="preserve"> PAGEREF _Toc92353848 \h </w:instrText>
        </w:r>
        <w:r>
          <w:rPr>
            <w:webHidden/>
          </w:rPr>
        </w:r>
        <w:r>
          <w:rPr>
            <w:webHidden/>
          </w:rPr>
          <w:fldChar w:fldCharType="separate"/>
        </w:r>
        <w:r>
          <w:rPr>
            <w:webHidden/>
          </w:rPr>
          <w:t>30</w:t>
        </w:r>
        <w:r>
          <w:rPr>
            <w:webHidden/>
          </w:rPr>
          <w:fldChar w:fldCharType="end"/>
        </w:r>
      </w:hyperlink>
    </w:p>
    <w:p>
      <w:pPr>
        <w:pStyle w:val="TM3"/>
        <w:tabs>
          <w:tab w:val="right" w:leader="dot" w:pos="9627"/>
        </w:tabs>
        <w:rPr>
          <w:rFonts w:asciiTheme="minorHAnsi" w:eastAsiaTheme="minorEastAsia" w:hAnsiTheme="minorHAnsi" w:cstheme="minorBidi"/>
          <w:noProof/>
          <w:sz w:val="22"/>
          <w:szCs w:val="22"/>
        </w:rPr>
      </w:pPr>
      <w:hyperlink w:anchor="_Toc92353849" w:history="1">
        <w:r>
          <w:rPr>
            <w:rStyle w:val="Lienhypertexte"/>
            <w:noProof/>
          </w:rPr>
          <w:t>3.6.1. Action n°10 : Mise en place d’un diagnostic permanent</w:t>
        </w:r>
        <w:r>
          <w:rPr>
            <w:noProof/>
            <w:webHidden/>
          </w:rPr>
          <w:tab/>
        </w:r>
        <w:r>
          <w:rPr>
            <w:noProof/>
            <w:webHidden/>
          </w:rPr>
          <w:fldChar w:fldCharType="begin"/>
        </w:r>
        <w:r>
          <w:rPr>
            <w:noProof/>
            <w:webHidden/>
          </w:rPr>
          <w:instrText xml:space="preserve"> PAGEREF _Toc92353849 \h </w:instrText>
        </w:r>
        <w:r>
          <w:rPr>
            <w:noProof/>
            <w:webHidden/>
          </w:rPr>
        </w:r>
        <w:r>
          <w:rPr>
            <w:noProof/>
            <w:webHidden/>
          </w:rPr>
          <w:fldChar w:fldCharType="separate"/>
        </w:r>
        <w:r>
          <w:rPr>
            <w:noProof/>
            <w:webHidden/>
          </w:rPr>
          <w:t>30</w:t>
        </w:r>
        <w:r>
          <w:rPr>
            <w:noProof/>
            <w:webHidden/>
          </w:rPr>
          <w:fldChar w:fldCharType="end"/>
        </w:r>
      </w:hyperlink>
    </w:p>
    <w:p>
      <w:pPr>
        <w:pStyle w:val="TM3"/>
        <w:tabs>
          <w:tab w:val="right" w:leader="dot" w:pos="9627"/>
        </w:tabs>
        <w:rPr>
          <w:rFonts w:asciiTheme="minorHAnsi" w:eastAsiaTheme="minorEastAsia" w:hAnsiTheme="minorHAnsi" w:cstheme="minorBidi"/>
          <w:noProof/>
          <w:sz w:val="22"/>
          <w:szCs w:val="22"/>
        </w:rPr>
      </w:pPr>
      <w:hyperlink w:anchor="_Toc92353850" w:history="1">
        <w:r>
          <w:rPr>
            <w:rStyle w:val="Lienhypertexte"/>
            <w:noProof/>
          </w:rPr>
          <w:t>3.6.2. Action n°11 : Mise en place d’un programme annuel de contrôle de l’état du réseau et investigations</w:t>
        </w:r>
        <w:r>
          <w:rPr>
            <w:noProof/>
            <w:webHidden/>
          </w:rPr>
          <w:tab/>
        </w:r>
        <w:r>
          <w:rPr>
            <w:noProof/>
            <w:webHidden/>
          </w:rPr>
          <w:fldChar w:fldCharType="begin"/>
        </w:r>
        <w:r>
          <w:rPr>
            <w:noProof/>
            <w:webHidden/>
          </w:rPr>
          <w:instrText xml:space="preserve"> PAGEREF _Toc92353850 \h </w:instrText>
        </w:r>
        <w:r>
          <w:rPr>
            <w:noProof/>
            <w:webHidden/>
          </w:rPr>
        </w:r>
        <w:r>
          <w:rPr>
            <w:noProof/>
            <w:webHidden/>
          </w:rPr>
          <w:fldChar w:fldCharType="separate"/>
        </w:r>
        <w:r>
          <w:rPr>
            <w:noProof/>
            <w:webHidden/>
          </w:rPr>
          <w:t>32</w:t>
        </w:r>
        <w:r>
          <w:rPr>
            <w:noProof/>
            <w:webHidden/>
          </w:rPr>
          <w:fldChar w:fldCharType="end"/>
        </w:r>
      </w:hyperlink>
    </w:p>
    <w:p>
      <w:pPr>
        <w:pStyle w:val="TM3"/>
        <w:tabs>
          <w:tab w:val="right" w:leader="dot" w:pos="9627"/>
        </w:tabs>
        <w:rPr>
          <w:rFonts w:asciiTheme="minorHAnsi" w:eastAsiaTheme="minorEastAsia" w:hAnsiTheme="minorHAnsi" w:cstheme="minorBidi"/>
          <w:noProof/>
          <w:sz w:val="22"/>
          <w:szCs w:val="22"/>
        </w:rPr>
      </w:pPr>
      <w:hyperlink w:anchor="_Toc92353851" w:history="1">
        <w:r>
          <w:rPr>
            <w:rStyle w:val="Lienhypertexte"/>
            <w:noProof/>
          </w:rPr>
          <w:t>3.6.3. Action n°12 : Mise en place d'un renouvellement programmé de la collecte des eaux usées</w:t>
        </w:r>
        <w:r>
          <w:rPr>
            <w:noProof/>
            <w:webHidden/>
          </w:rPr>
          <w:tab/>
        </w:r>
        <w:r>
          <w:rPr>
            <w:noProof/>
            <w:webHidden/>
          </w:rPr>
          <w:fldChar w:fldCharType="begin"/>
        </w:r>
        <w:r>
          <w:rPr>
            <w:noProof/>
            <w:webHidden/>
          </w:rPr>
          <w:instrText xml:space="preserve"> PAGEREF _Toc92353851 \h </w:instrText>
        </w:r>
        <w:r>
          <w:rPr>
            <w:noProof/>
            <w:webHidden/>
          </w:rPr>
        </w:r>
        <w:r>
          <w:rPr>
            <w:noProof/>
            <w:webHidden/>
          </w:rPr>
          <w:fldChar w:fldCharType="separate"/>
        </w:r>
        <w:r>
          <w:rPr>
            <w:noProof/>
            <w:webHidden/>
          </w:rPr>
          <w:t>34</w:t>
        </w:r>
        <w:r>
          <w:rPr>
            <w:noProof/>
            <w:webHidden/>
          </w:rPr>
          <w:fldChar w:fldCharType="end"/>
        </w:r>
      </w:hyperlink>
    </w:p>
    <w:p>
      <w:pPr>
        <w:pStyle w:val="TM2"/>
        <w:tabs>
          <w:tab w:val="right" w:leader="dot" w:pos="9627"/>
        </w:tabs>
        <w:rPr>
          <w:rFonts w:asciiTheme="minorHAnsi" w:eastAsiaTheme="minorEastAsia" w:hAnsiTheme="minorHAnsi" w:cstheme="minorBidi"/>
          <w:b w:val="0"/>
          <w:sz w:val="22"/>
          <w:szCs w:val="22"/>
        </w:rPr>
      </w:pPr>
      <w:hyperlink w:anchor="_Toc92353852" w:history="1">
        <w:r>
          <w:rPr>
            <w:rStyle w:val="Lienhypertexte"/>
          </w:rPr>
          <w:t>3.7. Thématique 6 : Mise en adéquation du système d’assainissement avec l’évolution urbanistique de la commune</w:t>
        </w:r>
        <w:r>
          <w:rPr>
            <w:webHidden/>
          </w:rPr>
          <w:tab/>
        </w:r>
        <w:r>
          <w:rPr>
            <w:webHidden/>
          </w:rPr>
          <w:fldChar w:fldCharType="begin"/>
        </w:r>
        <w:r>
          <w:rPr>
            <w:webHidden/>
          </w:rPr>
          <w:instrText xml:space="preserve"> PAGEREF _Toc92353852 \h </w:instrText>
        </w:r>
        <w:r>
          <w:rPr>
            <w:webHidden/>
          </w:rPr>
        </w:r>
        <w:r>
          <w:rPr>
            <w:webHidden/>
          </w:rPr>
          <w:fldChar w:fldCharType="separate"/>
        </w:r>
        <w:r>
          <w:rPr>
            <w:webHidden/>
          </w:rPr>
          <w:t>35</w:t>
        </w:r>
        <w:r>
          <w:rPr>
            <w:webHidden/>
          </w:rPr>
          <w:fldChar w:fldCharType="end"/>
        </w:r>
      </w:hyperlink>
    </w:p>
    <w:p>
      <w:pPr>
        <w:pStyle w:val="TM3"/>
        <w:tabs>
          <w:tab w:val="right" w:leader="dot" w:pos="9627"/>
        </w:tabs>
        <w:rPr>
          <w:rFonts w:asciiTheme="minorHAnsi" w:eastAsiaTheme="minorEastAsia" w:hAnsiTheme="minorHAnsi" w:cstheme="minorBidi"/>
          <w:noProof/>
          <w:sz w:val="22"/>
          <w:szCs w:val="22"/>
        </w:rPr>
      </w:pPr>
      <w:hyperlink w:anchor="_Toc92353853" w:history="1">
        <w:r>
          <w:rPr>
            <w:rStyle w:val="Lienhypertexte"/>
            <w:noProof/>
          </w:rPr>
          <w:t>3.7.1. Action n°13 : Extension de la collecte</w:t>
        </w:r>
        <w:r>
          <w:rPr>
            <w:noProof/>
            <w:webHidden/>
          </w:rPr>
          <w:tab/>
        </w:r>
        <w:r>
          <w:rPr>
            <w:noProof/>
            <w:webHidden/>
          </w:rPr>
          <w:fldChar w:fldCharType="begin"/>
        </w:r>
        <w:r>
          <w:rPr>
            <w:noProof/>
            <w:webHidden/>
          </w:rPr>
          <w:instrText xml:space="preserve"> PAGEREF _Toc92353853 \h </w:instrText>
        </w:r>
        <w:r>
          <w:rPr>
            <w:noProof/>
            <w:webHidden/>
          </w:rPr>
        </w:r>
        <w:r>
          <w:rPr>
            <w:noProof/>
            <w:webHidden/>
          </w:rPr>
          <w:fldChar w:fldCharType="separate"/>
        </w:r>
        <w:r>
          <w:rPr>
            <w:noProof/>
            <w:webHidden/>
          </w:rPr>
          <w:t>35</w:t>
        </w:r>
        <w:r>
          <w:rPr>
            <w:noProof/>
            <w:webHidden/>
          </w:rPr>
          <w:fldChar w:fldCharType="end"/>
        </w:r>
      </w:hyperlink>
    </w:p>
    <w:p>
      <w:pPr>
        <w:pStyle w:val="TM3"/>
        <w:tabs>
          <w:tab w:val="right" w:leader="dot" w:pos="9627"/>
        </w:tabs>
        <w:rPr>
          <w:rFonts w:asciiTheme="minorHAnsi" w:eastAsiaTheme="minorEastAsia" w:hAnsiTheme="minorHAnsi" w:cstheme="minorBidi"/>
          <w:noProof/>
          <w:sz w:val="22"/>
          <w:szCs w:val="22"/>
        </w:rPr>
      </w:pPr>
      <w:hyperlink w:anchor="_Toc92353854" w:history="1">
        <w:r>
          <w:rPr>
            <w:rStyle w:val="Lienhypertexte"/>
            <w:noProof/>
          </w:rPr>
          <w:t>3.7.2. Action n°14 : Mise en perspective de l’unité de dépollution avec les charges à traiter</w:t>
        </w:r>
        <w:r>
          <w:rPr>
            <w:noProof/>
            <w:webHidden/>
          </w:rPr>
          <w:tab/>
        </w:r>
        <w:r>
          <w:rPr>
            <w:noProof/>
            <w:webHidden/>
          </w:rPr>
          <w:fldChar w:fldCharType="begin"/>
        </w:r>
        <w:r>
          <w:rPr>
            <w:noProof/>
            <w:webHidden/>
          </w:rPr>
          <w:instrText xml:space="preserve"> PAGEREF _Toc92353854 \h </w:instrText>
        </w:r>
        <w:r>
          <w:rPr>
            <w:noProof/>
            <w:webHidden/>
          </w:rPr>
        </w:r>
        <w:r>
          <w:rPr>
            <w:noProof/>
            <w:webHidden/>
          </w:rPr>
          <w:fldChar w:fldCharType="separate"/>
        </w:r>
        <w:r>
          <w:rPr>
            <w:noProof/>
            <w:webHidden/>
          </w:rPr>
          <w:t>35</w:t>
        </w:r>
        <w:r>
          <w:rPr>
            <w:noProof/>
            <w:webHidden/>
          </w:rPr>
          <w:fldChar w:fldCharType="end"/>
        </w:r>
      </w:hyperlink>
    </w:p>
    <w:p>
      <w:pPr>
        <w:pStyle w:val="TM1"/>
        <w:tabs>
          <w:tab w:val="right" w:leader="dot" w:pos="9627"/>
        </w:tabs>
        <w:rPr>
          <w:rFonts w:asciiTheme="minorHAnsi" w:eastAsiaTheme="minorEastAsia" w:hAnsiTheme="minorHAnsi" w:cstheme="minorBidi"/>
          <w:b w:val="0"/>
          <w:caps w:val="0"/>
          <w:sz w:val="22"/>
          <w:szCs w:val="22"/>
        </w:rPr>
      </w:pPr>
      <w:hyperlink w:anchor="_Toc92353855" w:history="1">
        <w:r>
          <w:rPr>
            <w:rStyle w:val="Lienhypertexte"/>
          </w:rPr>
          <w:t>4. Synthèse et plan d’ensemble du programme de travaux</w:t>
        </w:r>
        <w:r>
          <w:rPr>
            <w:webHidden/>
          </w:rPr>
          <w:tab/>
        </w:r>
        <w:r>
          <w:rPr>
            <w:webHidden/>
          </w:rPr>
          <w:fldChar w:fldCharType="begin"/>
        </w:r>
        <w:r>
          <w:rPr>
            <w:webHidden/>
          </w:rPr>
          <w:instrText xml:space="preserve"> PAGEREF _Toc92353855 \h </w:instrText>
        </w:r>
        <w:r>
          <w:rPr>
            <w:webHidden/>
          </w:rPr>
        </w:r>
        <w:r>
          <w:rPr>
            <w:webHidden/>
          </w:rPr>
          <w:fldChar w:fldCharType="separate"/>
        </w:r>
        <w:r>
          <w:rPr>
            <w:webHidden/>
          </w:rPr>
          <w:t>36</w:t>
        </w:r>
        <w:r>
          <w:rPr>
            <w:webHidden/>
          </w:rPr>
          <w:fldChar w:fldCharType="end"/>
        </w:r>
      </w:hyperlink>
    </w:p>
    <w:p>
      <w:pPr>
        <w:pStyle w:val="TM1"/>
        <w:tabs>
          <w:tab w:val="right" w:leader="dot" w:pos="9627"/>
        </w:tabs>
        <w:rPr>
          <w:rFonts w:asciiTheme="minorHAnsi" w:eastAsiaTheme="minorEastAsia" w:hAnsiTheme="minorHAnsi" w:cstheme="minorBidi"/>
          <w:b w:val="0"/>
          <w:caps w:val="0"/>
          <w:sz w:val="22"/>
          <w:szCs w:val="22"/>
        </w:rPr>
      </w:pPr>
      <w:hyperlink w:anchor="_Toc92353856" w:history="1">
        <w:r>
          <w:rPr>
            <w:rStyle w:val="Lienhypertexte"/>
          </w:rPr>
          <w:t>5. Annexes</w:t>
        </w:r>
        <w:r>
          <w:rPr>
            <w:webHidden/>
          </w:rPr>
          <w:tab/>
        </w:r>
        <w:r>
          <w:rPr>
            <w:webHidden/>
          </w:rPr>
          <w:fldChar w:fldCharType="begin"/>
        </w:r>
        <w:r>
          <w:rPr>
            <w:webHidden/>
          </w:rPr>
          <w:instrText xml:space="preserve"> PAGEREF _Toc92353856 \h </w:instrText>
        </w:r>
        <w:r>
          <w:rPr>
            <w:webHidden/>
          </w:rPr>
        </w:r>
        <w:r>
          <w:rPr>
            <w:webHidden/>
          </w:rPr>
          <w:fldChar w:fldCharType="separate"/>
        </w:r>
        <w:r>
          <w:rPr>
            <w:webHidden/>
          </w:rPr>
          <w:t>37</w:t>
        </w:r>
        <w:r>
          <w:rPr>
            <w:webHidden/>
          </w:rPr>
          <w:fldChar w:fldCharType="end"/>
        </w:r>
      </w:hyperlink>
    </w:p>
    <w:p>
      <w:r>
        <w:rPr>
          <w:highlight w:val="yellow"/>
        </w:rPr>
        <w:fldChar w:fldCharType="end"/>
      </w:r>
    </w:p>
    <w:p>
      <w:pPr>
        <w:spacing w:before="0"/>
        <w:jc w:val="left"/>
        <w:rPr>
          <w:b/>
          <w:smallCaps/>
          <w:color w:val="333333"/>
          <w:kern w:val="28"/>
          <w:sz w:val="48"/>
        </w:rPr>
      </w:pPr>
      <w:bookmarkStart w:id="0" w:name="_Toc420576027"/>
      <w:bookmarkStart w:id="1" w:name="_Toc424023617"/>
      <w:bookmarkStart w:id="2" w:name="_Ref504039076"/>
      <w:bookmarkStart w:id="3" w:name="_Ref56517800"/>
      <w:r>
        <w:br w:type="page"/>
      </w:r>
    </w:p>
    <w:p>
      <w:pPr>
        <w:pStyle w:val="Titre1"/>
        <w:pBdr>
          <w:bottom w:val="single" w:sz="4" w:space="12" w:color="0079C2"/>
        </w:pBdr>
        <w:spacing w:before="240" w:after="120"/>
        <w:ind w:left="431" w:hanging="431"/>
        <w:jc w:val="both"/>
      </w:pPr>
      <w:bookmarkStart w:id="4" w:name="_Toc92353816"/>
      <w:r>
        <w:lastRenderedPageBreak/>
        <w:t>Préambule</w:t>
      </w:r>
      <w:bookmarkEnd w:id="0"/>
      <w:bookmarkEnd w:id="1"/>
      <w:bookmarkEnd w:id="2"/>
      <w:bookmarkEnd w:id="3"/>
      <w:bookmarkEnd w:id="4"/>
    </w:p>
    <w:p>
      <w:r>
        <w:rPr>
          <w:b/>
          <w:bCs/>
        </w:rPr>
        <w:t xml:space="preserve">Nîmes Métropole </w:t>
      </w:r>
      <w:r>
        <w:t>a réalisé le diagnostic du système d’assainissement de la commune de Garons conformément aux prescriptions précisées dans l’arrêté du 21 juillet 2015 relatif aux systèmes d’assainissement collectif.</w:t>
      </w:r>
    </w:p>
    <w:p>
      <w:r>
        <w:t>L’étude s’est décomposée en trois phases :</w:t>
      </w:r>
    </w:p>
    <w:p>
      <w:pPr>
        <w:pStyle w:val="Retrait20"/>
        <w:ind w:left="964" w:hanging="284"/>
      </w:pPr>
      <w:r>
        <w:t>Phase 1 : état des lieux (septembre 2019 – février 2020)</w:t>
      </w:r>
    </w:p>
    <w:p>
      <w:pPr>
        <w:pStyle w:val="Retrait20"/>
        <w:ind w:left="964" w:hanging="284"/>
      </w:pPr>
      <w:r>
        <w:t>Phase 2 : diagnostic – campagnes de mesures (janvier 2020 - janvier 2021)</w:t>
      </w:r>
    </w:p>
    <w:p>
      <w:pPr>
        <w:pStyle w:val="Retrait20"/>
        <w:ind w:left="964" w:hanging="284"/>
      </w:pPr>
      <w:r>
        <w:t>Phase 3 : programme prévisionnel des travaux hiérarchisés (février 2021 - septembre 2021)</w:t>
      </w:r>
    </w:p>
    <w:p>
      <w:r>
        <w:rPr>
          <w:b/>
          <w:u w:val="single"/>
        </w:rPr>
        <w:t>La phase 1</w:t>
      </w:r>
      <w:r>
        <w:t xml:space="preserve"> a constitué d’une part à présenter les caractéristiques de la commune et les éléments de contexte et d’autre part à faire l’état des lieux de l’assainissement collectif.</w:t>
      </w:r>
    </w:p>
    <w:p>
      <w:r>
        <w:rPr>
          <w:b/>
          <w:u w:val="single"/>
        </w:rPr>
        <w:t>La phase 2</w:t>
      </w:r>
      <w:r>
        <w:t xml:space="preserve"> s’est articulé autour de la campagne de mesures, les investigations nocturnes, les visites sous averses et les investigations complémentaires (inspections caméra, tests à la fumée).</w:t>
      </w:r>
    </w:p>
    <w:p>
      <w:r>
        <w:rPr>
          <w:b/>
          <w:u w:val="single"/>
        </w:rPr>
        <w:t>La phase 3</w:t>
      </w:r>
      <w:r>
        <w:t xml:space="preserve"> est constituée par la synthèse des principaux éléments du diagnostic, les propositions de scénarios d’assainissement et le programme de travaux hiérarchisés.</w:t>
      </w:r>
    </w:p>
    <w:p>
      <w:pPr>
        <w:rPr>
          <w:highlight w:val="yellow"/>
        </w:rPr>
      </w:pPr>
      <w:r>
        <w:t>En annexe de ses rapports ont été transmis le plan du réseau d’assainissement des eaux usées, les fiches regards, les fiches ouvrages, les fiches mesures, les fiches enquêtes, les fiches tests à la fumée et le rapport des passages caméra.</w:t>
      </w:r>
    </w:p>
    <w:p/>
    <w:p/>
    <w:p/>
    <w:p/>
    <w:p/>
    <w:p>
      <w:pPr>
        <w:spacing w:before="0"/>
        <w:jc w:val="left"/>
        <w:rPr>
          <w:b/>
          <w:smallCaps/>
          <w:color w:val="333333"/>
          <w:kern w:val="28"/>
          <w:sz w:val="48"/>
        </w:rPr>
      </w:pPr>
      <w:bookmarkStart w:id="5" w:name="_Toc420576031"/>
      <w:bookmarkStart w:id="6" w:name="_Toc424023621"/>
      <w:r>
        <w:br w:type="page"/>
      </w:r>
    </w:p>
    <w:p>
      <w:pPr>
        <w:pStyle w:val="Titre1"/>
        <w:pBdr>
          <w:bottom w:val="single" w:sz="12" w:space="4" w:color="0070C0"/>
        </w:pBdr>
      </w:pPr>
      <w:bookmarkStart w:id="7" w:name="_Toc46480255"/>
      <w:bookmarkStart w:id="8" w:name="_Toc92353817"/>
      <w:bookmarkEnd w:id="5"/>
      <w:bookmarkEnd w:id="6"/>
      <w:r>
        <w:lastRenderedPageBreak/>
        <w:t>Synthèse des principaux éléments du diagnostic</w:t>
      </w:r>
      <w:bookmarkEnd w:id="7"/>
      <w:bookmarkEnd w:id="8"/>
    </w:p>
    <w:p>
      <w:r>
        <w:t>Le système d’assainissement de Garons intègre le réseau de la ZAC Mitra situé sur Saint-Gilles.</w:t>
      </w:r>
    </w:p>
    <w:p>
      <w:pPr>
        <w:pStyle w:val="Titre2"/>
      </w:pPr>
      <w:bookmarkStart w:id="9" w:name="_Toc46480256"/>
      <w:bookmarkStart w:id="10" w:name="_Toc92353818"/>
      <w:r>
        <w:t>Ratio et chiffres clefs</w:t>
      </w:r>
      <w:bookmarkEnd w:id="9"/>
      <w:bookmarkEnd w:id="10"/>
    </w:p>
    <w:p>
      <w:pPr>
        <w:pStyle w:val="Retrait20"/>
        <w:tabs>
          <w:tab w:val="clear" w:pos="928"/>
          <w:tab w:val="num" w:pos="1324"/>
        </w:tabs>
        <w:ind w:left="1304"/>
      </w:pPr>
      <w:r>
        <w:t>Abonnés raccordés : 1 789</w:t>
      </w:r>
    </w:p>
    <w:p>
      <w:pPr>
        <w:pStyle w:val="Retrait20"/>
        <w:tabs>
          <w:tab w:val="clear" w:pos="928"/>
          <w:tab w:val="num" w:pos="1324"/>
        </w:tabs>
        <w:ind w:left="1304"/>
      </w:pPr>
      <w:r>
        <w:t>Linéaire : 31 065 ml dont 3 264ml sur la commune de Saint-Gilles (Mitra)</w:t>
      </w:r>
    </w:p>
    <w:p>
      <w:pPr>
        <w:pStyle w:val="Retrait20"/>
        <w:tabs>
          <w:tab w:val="clear" w:pos="928"/>
          <w:tab w:val="num" w:pos="1324"/>
        </w:tabs>
        <w:ind w:left="1304"/>
      </w:pPr>
      <w:r>
        <w:t>Regards : 796 (hors Mitra)</w:t>
      </w:r>
    </w:p>
    <w:p>
      <w:pPr>
        <w:pStyle w:val="Retrait20"/>
        <w:tabs>
          <w:tab w:val="clear" w:pos="928"/>
          <w:tab w:val="num" w:pos="1324"/>
        </w:tabs>
        <w:ind w:left="1304"/>
      </w:pPr>
      <w:r>
        <w:t>Postes de relevage : 3</w:t>
      </w:r>
    </w:p>
    <w:p>
      <w:pPr>
        <w:pStyle w:val="Retrait20"/>
        <w:tabs>
          <w:tab w:val="clear" w:pos="928"/>
          <w:tab w:val="num" w:pos="1324"/>
        </w:tabs>
        <w:ind w:left="1304"/>
      </w:pPr>
      <w:r>
        <w:t>Déversoirs d’orage : 1 (DTS)</w:t>
      </w:r>
    </w:p>
    <w:p/>
    <w:tbl>
      <w:tblPr>
        <w:tblStyle w:val="Grilledutableau"/>
        <w:tblW w:w="0" w:type="auto"/>
        <w:jc w:val="center"/>
        <w:tblLook w:val="04A0" w:firstRow="1" w:lastRow="0" w:firstColumn="1" w:lastColumn="0" w:noHBand="0" w:noVBand="1"/>
      </w:tblPr>
      <w:tblGrid>
        <w:gridCol w:w="2363"/>
        <w:gridCol w:w="2870"/>
      </w:tblGrid>
      <w:tr>
        <w:trPr>
          <w:jc w:val="center"/>
        </w:trPr>
        <w:tc>
          <w:tcPr>
            <w:tcW w:w="0" w:type="auto"/>
            <w:shd w:val="clear" w:color="auto" w:fill="8DB3E2" w:themeFill="text2" w:themeFillTint="66"/>
          </w:tcPr>
          <w:p>
            <w:pPr>
              <w:spacing w:before="60" w:after="60"/>
              <w:jc w:val="center"/>
              <w:rPr>
                <w:b/>
                <w:color w:val="FFFFFF" w:themeColor="background1"/>
              </w:rPr>
            </w:pPr>
          </w:p>
        </w:tc>
        <w:tc>
          <w:tcPr>
            <w:tcW w:w="0" w:type="auto"/>
            <w:shd w:val="clear" w:color="auto" w:fill="8DB3E2" w:themeFill="text2" w:themeFillTint="66"/>
          </w:tcPr>
          <w:p>
            <w:pPr>
              <w:spacing w:before="60" w:after="60"/>
              <w:jc w:val="center"/>
              <w:rPr>
                <w:b/>
                <w:color w:val="FFFFFF" w:themeColor="background1"/>
              </w:rPr>
            </w:pPr>
            <w:r>
              <w:rPr>
                <w:b/>
                <w:color w:val="FFFFFF" w:themeColor="background1"/>
              </w:rPr>
              <w:t>STEP Garons</w:t>
            </w:r>
          </w:p>
        </w:tc>
      </w:tr>
      <w:tr>
        <w:trPr>
          <w:jc w:val="center"/>
        </w:trPr>
        <w:tc>
          <w:tcPr>
            <w:tcW w:w="0" w:type="auto"/>
          </w:tcPr>
          <w:p>
            <w:r>
              <w:t>Capacité nominale (EH)</w:t>
            </w:r>
          </w:p>
        </w:tc>
        <w:tc>
          <w:tcPr>
            <w:tcW w:w="0" w:type="auto"/>
          </w:tcPr>
          <w:p>
            <w:pPr>
              <w:jc w:val="center"/>
            </w:pPr>
            <w:r>
              <w:t>7 000</w:t>
            </w:r>
          </w:p>
        </w:tc>
      </w:tr>
      <w:tr>
        <w:trPr>
          <w:jc w:val="center"/>
        </w:trPr>
        <w:tc>
          <w:tcPr>
            <w:tcW w:w="0" w:type="auto"/>
          </w:tcPr>
          <w:p>
            <w:r>
              <w:t>Charge moyenne reçue (m</w:t>
            </w:r>
            <w:r>
              <w:rPr>
                <w:vertAlign w:val="superscript"/>
              </w:rPr>
              <w:t>3</w:t>
            </w:r>
            <w:r>
              <w:t>/j)</w:t>
            </w:r>
          </w:p>
        </w:tc>
        <w:tc>
          <w:tcPr>
            <w:tcW w:w="0" w:type="auto"/>
          </w:tcPr>
          <w:p>
            <w:pPr>
              <w:jc w:val="center"/>
            </w:pPr>
            <w:r>
              <w:t>900</w:t>
            </w:r>
          </w:p>
        </w:tc>
      </w:tr>
      <w:tr>
        <w:trPr>
          <w:jc w:val="center"/>
        </w:trPr>
        <w:tc>
          <w:tcPr>
            <w:tcW w:w="0" w:type="auto"/>
          </w:tcPr>
          <w:p>
            <w:r>
              <w:t>% de saturation hydraulique</w:t>
            </w:r>
          </w:p>
        </w:tc>
        <w:tc>
          <w:tcPr>
            <w:tcW w:w="0" w:type="auto"/>
          </w:tcPr>
          <w:p>
            <w:pPr>
              <w:jc w:val="center"/>
            </w:pPr>
            <w:r>
              <w:t>105 % (percentile 95 – 2016 à 2020)</w:t>
            </w:r>
          </w:p>
        </w:tc>
      </w:tr>
      <w:tr>
        <w:trPr>
          <w:jc w:val="center"/>
        </w:trPr>
        <w:tc>
          <w:tcPr>
            <w:tcW w:w="0" w:type="auto"/>
          </w:tcPr>
          <w:p>
            <w:r>
              <w:t>% de saturation pollution</w:t>
            </w:r>
          </w:p>
        </w:tc>
        <w:tc>
          <w:tcPr>
            <w:tcW w:w="0" w:type="auto"/>
          </w:tcPr>
          <w:p>
            <w:pPr>
              <w:jc w:val="center"/>
            </w:pPr>
            <w:r>
              <w:t>145 % (CBPO</w:t>
            </w:r>
            <w:r>
              <w:rPr>
                <w:rStyle w:val="Appelnotedebasdep"/>
              </w:rPr>
              <w:footnoteReference w:id="1"/>
            </w:r>
            <w:r>
              <w:t xml:space="preserve"> – 2016 à 2020)</w:t>
            </w:r>
          </w:p>
        </w:tc>
      </w:tr>
    </w:tbl>
    <w:p>
      <w:pPr>
        <w:pStyle w:val="Titre2"/>
      </w:pPr>
      <w:bookmarkStart w:id="11" w:name="_Toc46480257"/>
      <w:bookmarkStart w:id="12" w:name="_Toc92353819"/>
      <w:r>
        <w:t>Etat du réseau de collecte</w:t>
      </w:r>
      <w:bookmarkEnd w:id="11"/>
      <w:bookmarkEnd w:id="12"/>
    </w:p>
    <w:p>
      <w:r>
        <w:t>Le linéaire de réseau est d’environ 31 km. Le réseau de collecte est de type séparatif et principalement gravitaire. Le réseau de la zone Mitra situé sur la commune de Saint-Gilles est raccordé sur le réseau de Garons.</w:t>
      </w:r>
    </w:p>
    <w:p/>
    <w:tbl>
      <w:tblPr>
        <w:tblW w:w="0" w:type="auto"/>
        <w:jc w:val="center"/>
        <w:tblLook w:val="04A0" w:firstRow="1" w:lastRow="0" w:firstColumn="1" w:lastColumn="0" w:noHBand="0" w:noVBand="1"/>
      </w:tblPr>
      <w:tblGrid>
        <w:gridCol w:w="4786"/>
        <w:gridCol w:w="1654"/>
        <w:gridCol w:w="1654"/>
      </w:tblGrid>
      <w:tr>
        <w:trPr>
          <w:jc w:val="center"/>
        </w:trPr>
        <w:tc>
          <w:tcPr>
            <w:tcW w:w="4786"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pPr>
              <w:rPr>
                <w:b/>
              </w:rPr>
            </w:pPr>
            <w:r>
              <w:rPr>
                <w:b/>
              </w:rPr>
              <w:t>Désignation</w:t>
            </w:r>
          </w:p>
        </w:tc>
        <w:tc>
          <w:tcPr>
            <w:tcW w:w="1654" w:type="dxa"/>
            <w:tcBorders>
              <w:top w:val="single" w:sz="4" w:space="0" w:color="auto"/>
              <w:left w:val="single" w:sz="4" w:space="0" w:color="auto"/>
              <w:bottom w:val="single" w:sz="4" w:space="0" w:color="auto"/>
              <w:right w:val="single" w:sz="4" w:space="0" w:color="auto"/>
            </w:tcBorders>
            <w:shd w:val="clear" w:color="auto" w:fill="8DB3E2" w:themeFill="text2" w:themeFillTint="66"/>
          </w:tcPr>
          <w:p>
            <w:pPr>
              <w:jc w:val="center"/>
              <w:rPr>
                <w:b/>
              </w:rPr>
            </w:pPr>
            <w:r>
              <w:rPr>
                <w:b/>
              </w:rPr>
              <w:t>Garons</w:t>
            </w:r>
          </w:p>
        </w:tc>
        <w:tc>
          <w:tcPr>
            <w:tcW w:w="1654" w:type="dxa"/>
            <w:tcBorders>
              <w:top w:val="single" w:sz="4" w:space="0" w:color="auto"/>
              <w:left w:val="single" w:sz="4" w:space="0" w:color="auto"/>
              <w:bottom w:val="single" w:sz="4" w:space="0" w:color="auto"/>
              <w:right w:val="single" w:sz="4" w:space="0" w:color="auto"/>
            </w:tcBorders>
            <w:shd w:val="clear" w:color="auto" w:fill="8DB3E2" w:themeFill="text2" w:themeFillTint="66"/>
          </w:tcPr>
          <w:p>
            <w:pPr>
              <w:jc w:val="center"/>
              <w:rPr>
                <w:b/>
              </w:rPr>
            </w:pPr>
            <w:r>
              <w:rPr>
                <w:b/>
              </w:rPr>
              <w:t>Mitra</w:t>
            </w:r>
          </w:p>
        </w:tc>
      </w:tr>
      <w:tr>
        <w:trPr>
          <w:jc w:val="center"/>
        </w:trPr>
        <w:tc>
          <w:tcPr>
            <w:tcW w:w="4786" w:type="dxa"/>
            <w:tcBorders>
              <w:top w:val="single" w:sz="4" w:space="0" w:color="auto"/>
              <w:left w:val="single" w:sz="4" w:space="0" w:color="auto"/>
              <w:bottom w:val="single" w:sz="4" w:space="0" w:color="auto"/>
              <w:right w:val="single" w:sz="4" w:space="0" w:color="auto"/>
            </w:tcBorders>
            <w:hideMark/>
          </w:tcPr>
          <w:p>
            <w:r>
              <w:t>Linéaire de réseau gravitaire des Eaux Usées (ml)</w:t>
            </w:r>
          </w:p>
        </w:tc>
        <w:tc>
          <w:tcPr>
            <w:tcW w:w="1654" w:type="dxa"/>
            <w:tcBorders>
              <w:top w:val="single" w:sz="4" w:space="0" w:color="auto"/>
              <w:left w:val="single" w:sz="4" w:space="0" w:color="auto"/>
              <w:bottom w:val="single" w:sz="4" w:space="0" w:color="auto"/>
              <w:right w:val="single" w:sz="4" w:space="0" w:color="auto"/>
            </w:tcBorders>
            <w:hideMark/>
          </w:tcPr>
          <w:p>
            <w:pPr>
              <w:jc w:val="center"/>
            </w:pPr>
            <w:r>
              <w:t>27 339</w:t>
            </w:r>
          </w:p>
        </w:tc>
        <w:tc>
          <w:tcPr>
            <w:tcW w:w="1654" w:type="dxa"/>
            <w:tcBorders>
              <w:top w:val="single" w:sz="4" w:space="0" w:color="auto"/>
              <w:left w:val="single" w:sz="4" w:space="0" w:color="auto"/>
              <w:bottom w:val="single" w:sz="4" w:space="0" w:color="auto"/>
              <w:right w:val="single" w:sz="4" w:space="0" w:color="auto"/>
            </w:tcBorders>
          </w:tcPr>
          <w:p>
            <w:pPr>
              <w:jc w:val="center"/>
            </w:pPr>
            <w:r>
              <w:t>3 264</w:t>
            </w:r>
          </w:p>
        </w:tc>
      </w:tr>
      <w:tr>
        <w:trPr>
          <w:jc w:val="center"/>
        </w:trPr>
        <w:tc>
          <w:tcPr>
            <w:tcW w:w="4786" w:type="dxa"/>
            <w:tcBorders>
              <w:top w:val="single" w:sz="4" w:space="0" w:color="auto"/>
              <w:left w:val="single" w:sz="4" w:space="0" w:color="auto"/>
              <w:bottom w:val="single" w:sz="4" w:space="0" w:color="auto"/>
              <w:right w:val="single" w:sz="4" w:space="0" w:color="auto"/>
            </w:tcBorders>
            <w:hideMark/>
          </w:tcPr>
          <w:p>
            <w:r>
              <w:t>Linéaire de réseau de refoulement des Eaux Usées (ml)</w:t>
            </w:r>
          </w:p>
        </w:tc>
        <w:tc>
          <w:tcPr>
            <w:tcW w:w="1654" w:type="dxa"/>
            <w:tcBorders>
              <w:top w:val="single" w:sz="4" w:space="0" w:color="auto"/>
              <w:left w:val="single" w:sz="4" w:space="0" w:color="auto"/>
              <w:bottom w:val="single" w:sz="4" w:space="0" w:color="auto"/>
              <w:right w:val="single" w:sz="4" w:space="0" w:color="auto"/>
            </w:tcBorders>
            <w:hideMark/>
          </w:tcPr>
          <w:p>
            <w:pPr>
              <w:jc w:val="center"/>
            </w:pPr>
            <w:r>
              <w:t>462</w:t>
            </w:r>
          </w:p>
        </w:tc>
        <w:tc>
          <w:tcPr>
            <w:tcW w:w="1654" w:type="dxa"/>
            <w:tcBorders>
              <w:top w:val="single" w:sz="4" w:space="0" w:color="auto"/>
              <w:left w:val="single" w:sz="4" w:space="0" w:color="auto"/>
              <w:bottom w:val="single" w:sz="4" w:space="0" w:color="auto"/>
              <w:right w:val="single" w:sz="4" w:space="0" w:color="auto"/>
            </w:tcBorders>
          </w:tcPr>
          <w:p>
            <w:pPr>
              <w:jc w:val="center"/>
            </w:pPr>
            <w:r>
              <w:t>0</w:t>
            </w:r>
          </w:p>
        </w:tc>
      </w:tr>
      <w:tr>
        <w:trPr>
          <w:jc w:val="center"/>
        </w:trPr>
        <w:tc>
          <w:tcPr>
            <w:tcW w:w="4786" w:type="dxa"/>
            <w:tcBorders>
              <w:top w:val="single" w:sz="4" w:space="0" w:color="auto"/>
              <w:left w:val="single" w:sz="4" w:space="0" w:color="auto"/>
              <w:bottom w:val="single" w:sz="4" w:space="0" w:color="auto"/>
              <w:right w:val="single" w:sz="4" w:space="0" w:color="auto"/>
            </w:tcBorders>
            <w:hideMark/>
          </w:tcPr>
          <w:p>
            <w:pPr>
              <w:rPr>
                <w:b/>
              </w:rPr>
            </w:pPr>
            <w:r>
              <w:rPr>
                <w:b/>
              </w:rPr>
              <w:t>Linéaire total (ml)</w:t>
            </w:r>
          </w:p>
        </w:tc>
        <w:tc>
          <w:tcPr>
            <w:tcW w:w="1654" w:type="dxa"/>
            <w:tcBorders>
              <w:top w:val="single" w:sz="4" w:space="0" w:color="auto"/>
              <w:left w:val="single" w:sz="4" w:space="0" w:color="auto"/>
              <w:bottom w:val="single" w:sz="4" w:space="0" w:color="auto"/>
              <w:right w:val="single" w:sz="4" w:space="0" w:color="auto"/>
            </w:tcBorders>
            <w:hideMark/>
          </w:tcPr>
          <w:p>
            <w:pPr>
              <w:jc w:val="center"/>
              <w:rPr>
                <w:b/>
              </w:rPr>
            </w:pPr>
            <w:r>
              <w:rPr>
                <w:b/>
              </w:rPr>
              <w:t>27 801</w:t>
            </w:r>
          </w:p>
        </w:tc>
        <w:tc>
          <w:tcPr>
            <w:tcW w:w="1654" w:type="dxa"/>
            <w:tcBorders>
              <w:top w:val="single" w:sz="4" w:space="0" w:color="auto"/>
              <w:left w:val="single" w:sz="4" w:space="0" w:color="auto"/>
              <w:bottom w:val="single" w:sz="4" w:space="0" w:color="auto"/>
              <w:right w:val="single" w:sz="4" w:space="0" w:color="auto"/>
            </w:tcBorders>
          </w:tcPr>
          <w:p>
            <w:pPr>
              <w:jc w:val="center"/>
              <w:rPr>
                <w:b/>
              </w:rPr>
            </w:pPr>
            <w:r>
              <w:rPr>
                <w:b/>
              </w:rPr>
              <w:t>3 264</w:t>
            </w:r>
          </w:p>
        </w:tc>
      </w:tr>
    </w:tbl>
    <w:p/>
    <w:p>
      <w:r>
        <w:t>La connaissance du patrimoine est conforme aux obligations réglementaires :</w:t>
      </w:r>
    </w:p>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7"/>
        <w:gridCol w:w="2638"/>
        <w:gridCol w:w="1566"/>
        <w:gridCol w:w="3656"/>
      </w:tblGrid>
      <w:tr>
        <w:tc>
          <w:tcPr>
            <w:tcW w:w="1887" w:type="dxa"/>
            <w:tcBorders>
              <w:top w:val="single" w:sz="4" w:space="0" w:color="auto"/>
              <w:left w:val="single" w:sz="4" w:space="0" w:color="auto"/>
              <w:bottom w:val="single" w:sz="4" w:space="0" w:color="auto"/>
              <w:right w:val="single" w:sz="4" w:space="0" w:color="auto"/>
            </w:tcBorders>
            <w:hideMark/>
          </w:tcPr>
          <w:p>
            <w:pPr>
              <w:jc w:val="center"/>
            </w:pPr>
            <w:r>
              <w:rPr>
                <w:b/>
              </w:rPr>
              <w:t>Référence</w:t>
            </w:r>
          </w:p>
        </w:tc>
        <w:tc>
          <w:tcPr>
            <w:tcW w:w="2638" w:type="dxa"/>
            <w:tcBorders>
              <w:top w:val="single" w:sz="4" w:space="0" w:color="auto"/>
              <w:left w:val="single" w:sz="4" w:space="0" w:color="auto"/>
              <w:bottom w:val="single" w:sz="4" w:space="0" w:color="auto"/>
              <w:right w:val="single" w:sz="4" w:space="0" w:color="auto"/>
            </w:tcBorders>
            <w:vAlign w:val="center"/>
            <w:hideMark/>
          </w:tcPr>
          <w:p>
            <w:pPr>
              <w:jc w:val="center"/>
              <w:rPr>
                <w:b/>
              </w:rPr>
            </w:pPr>
            <w:r>
              <w:rPr>
                <w:b/>
              </w:rPr>
              <w:t>Paramètre</w:t>
            </w:r>
          </w:p>
        </w:tc>
        <w:tc>
          <w:tcPr>
            <w:tcW w:w="1566" w:type="dxa"/>
            <w:tcBorders>
              <w:top w:val="single" w:sz="4" w:space="0" w:color="auto"/>
              <w:left w:val="single" w:sz="4" w:space="0" w:color="auto"/>
              <w:bottom w:val="single" w:sz="4" w:space="0" w:color="auto"/>
              <w:right w:val="single" w:sz="4" w:space="0" w:color="auto"/>
            </w:tcBorders>
            <w:vAlign w:val="center"/>
            <w:hideMark/>
          </w:tcPr>
          <w:p>
            <w:pPr>
              <w:jc w:val="center"/>
              <w:rPr>
                <w:b/>
              </w:rPr>
            </w:pPr>
            <w:r>
              <w:rPr>
                <w:b/>
              </w:rPr>
              <w:t>Conformité</w:t>
            </w:r>
          </w:p>
        </w:tc>
        <w:tc>
          <w:tcPr>
            <w:tcW w:w="3656" w:type="dxa"/>
            <w:tcBorders>
              <w:top w:val="single" w:sz="4" w:space="0" w:color="auto"/>
              <w:left w:val="single" w:sz="4" w:space="0" w:color="auto"/>
              <w:bottom w:val="single" w:sz="4" w:space="0" w:color="auto"/>
              <w:right w:val="single" w:sz="4" w:space="0" w:color="auto"/>
            </w:tcBorders>
            <w:hideMark/>
          </w:tcPr>
          <w:p>
            <w:pPr>
              <w:jc w:val="center"/>
            </w:pPr>
            <w:r>
              <w:rPr>
                <w:b/>
              </w:rPr>
              <w:t>Commentaire</w:t>
            </w:r>
          </w:p>
        </w:tc>
      </w:tr>
      <w:tr>
        <w:tc>
          <w:tcPr>
            <w:tcW w:w="1887" w:type="dxa"/>
            <w:vMerge w:val="restart"/>
            <w:tcBorders>
              <w:top w:val="single" w:sz="4" w:space="0" w:color="auto"/>
              <w:left w:val="single" w:sz="4" w:space="0" w:color="auto"/>
              <w:bottom w:val="single" w:sz="4" w:space="0" w:color="auto"/>
              <w:right w:val="single" w:sz="4" w:space="0" w:color="auto"/>
            </w:tcBorders>
            <w:vAlign w:val="center"/>
            <w:hideMark/>
          </w:tcPr>
          <w:p>
            <w:pPr>
              <w:jc w:val="center"/>
              <w:rPr>
                <w:b/>
              </w:rPr>
            </w:pPr>
            <w:r>
              <w:rPr>
                <w:b/>
              </w:rPr>
              <w:t>Décret 2012-97</w:t>
            </w:r>
          </w:p>
        </w:tc>
        <w:tc>
          <w:tcPr>
            <w:tcW w:w="2638" w:type="dxa"/>
            <w:tcBorders>
              <w:top w:val="single" w:sz="4" w:space="0" w:color="auto"/>
              <w:left w:val="single" w:sz="4" w:space="0" w:color="auto"/>
              <w:bottom w:val="single" w:sz="4" w:space="0" w:color="auto"/>
              <w:right w:val="single" w:sz="4" w:space="0" w:color="auto"/>
            </w:tcBorders>
            <w:vAlign w:val="center"/>
            <w:hideMark/>
          </w:tcPr>
          <w:p>
            <w:pPr>
              <w:jc w:val="left"/>
            </w:pPr>
            <w:r>
              <w:t>Plan des réseaux à jour</w:t>
            </w:r>
          </w:p>
        </w:tc>
        <w:tc>
          <w:tcPr>
            <w:tcW w:w="1566" w:type="dxa"/>
            <w:tcBorders>
              <w:top w:val="single" w:sz="4" w:space="0" w:color="auto"/>
              <w:left w:val="single" w:sz="4" w:space="0" w:color="auto"/>
              <w:bottom w:val="single" w:sz="4" w:space="0" w:color="auto"/>
              <w:right w:val="single" w:sz="4" w:space="0" w:color="auto"/>
            </w:tcBorders>
            <w:vAlign w:val="center"/>
            <w:hideMark/>
          </w:tcPr>
          <w:p>
            <w:pPr>
              <w:jc w:val="center"/>
            </w:pPr>
            <w:r>
              <w:rPr>
                <w:noProof/>
              </w:rPr>
              <w:drawing>
                <wp:inline distT="0" distB="0" distL="0" distR="0">
                  <wp:extent cx="180975" cy="180975"/>
                  <wp:effectExtent l="19050" t="0" r="9525" b="0"/>
                  <wp:docPr id="8"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p>
        </w:tc>
        <w:tc>
          <w:tcPr>
            <w:tcW w:w="3656" w:type="dxa"/>
            <w:tcBorders>
              <w:top w:val="single" w:sz="4" w:space="0" w:color="auto"/>
              <w:left w:val="single" w:sz="4" w:space="0" w:color="auto"/>
              <w:bottom w:val="single" w:sz="4" w:space="0" w:color="auto"/>
              <w:right w:val="single" w:sz="4" w:space="0" w:color="auto"/>
            </w:tcBorders>
            <w:vAlign w:val="center"/>
            <w:hideMark/>
          </w:tcPr>
          <w:p>
            <w:pPr>
              <w:jc w:val="left"/>
              <w:rPr>
                <w:b/>
              </w:rPr>
            </w:pPr>
            <w:r>
              <w:t xml:space="preserve">Plan réseau numérisé (format </w:t>
            </w:r>
            <w:proofErr w:type="spellStart"/>
            <w:r>
              <w:t>shp</w:t>
            </w:r>
            <w:proofErr w:type="spellEnd"/>
            <w:r>
              <w:t>)</w:t>
            </w:r>
          </w:p>
        </w:tc>
      </w:tr>
      <w:tr>
        <w:tc>
          <w:tcPr>
            <w:tcW w:w="0" w:type="auto"/>
            <w:vMerge/>
            <w:tcBorders>
              <w:top w:val="single" w:sz="4" w:space="0" w:color="auto"/>
              <w:left w:val="single" w:sz="4" w:space="0" w:color="auto"/>
              <w:bottom w:val="single" w:sz="4" w:space="0" w:color="auto"/>
              <w:right w:val="single" w:sz="4" w:space="0" w:color="auto"/>
            </w:tcBorders>
            <w:vAlign w:val="center"/>
            <w:hideMark/>
          </w:tcPr>
          <w:p>
            <w:pPr>
              <w:spacing w:before="0"/>
              <w:jc w:val="left"/>
              <w:rPr>
                <w:b/>
              </w:rPr>
            </w:pPr>
          </w:p>
        </w:tc>
        <w:tc>
          <w:tcPr>
            <w:tcW w:w="2638" w:type="dxa"/>
            <w:tcBorders>
              <w:top w:val="single" w:sz="4" w:space="0" w:color="auto"/>
              <w:left w:val="single" w:sz="4" w:space="0" w:color="auto"/>
              <w:bottom w:val="single" w:sz="4" w:space="0" w:color="auto"/>
              <w:right w:val="single" w:sz="4" w:space="0" w:color="auto"/>
            </w:tcBorders>
            <w:vAlign w:val="center"/>
            <w:hideMark/>
          </w:tcPr>
          <w:p>
            <w:pPr>
              <w:jc w:val="left"/>
            </w:pPr>
            <w:r>
              <w:t>Matériaux</w:t>
            </w:r>
          </w:p>
        </w:tc>
        <w:tc>
          <w:tcPr>
            <w:tcW w:w="1566" w:type="dxa"/>
            <w:tcBorders>
              <w:top w:val="single" w:sz="4" w:space="0" w:color="auto"/>
              <w:left w:val="single" w:sz="4" w:space="0" w:color="auto"/>
              <w:bottom w:val="single" w:sz="4" w:space="0" w:color="auto"/>
              <w:right w:val="single" w:sz="4" w:space="0" w:color="auto"/>
            </w:tcBorders>
            <w:vAlign w:val="center"/>
            <w:hideMark/>
          </w:tcPr>
          <w:p>
            <w:pPr>
              <w:jc w:val="center"/>
            </w:pPr>
            <w:r>
              <w:t xml:space="preserve"> </w:t>
            </w:r>
            <w:r>
              <w:rPr>
                <w:noProof/>
              </w:rPr>
              <w:drawing>
                <wp:inline distT="0" distB="0" distL="0" distR="0">
                  <wp:extent cx="180975" cy="180975"/>
                  <wp:effectExtent l="19050" t="0" r="9525" b="0"/>
                  <wp:docPr id="30"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p>
        </w:tc>
        <w:tc>
          <w:tcPr>
            <w:tcW w:w="3656" w:type="dxa"/>
            <w:tcBorders>
              <w:top w:val="single" w:sz="4" w:space="0" w:color="auto"/>
              <w:left w:val="single" w:sz="4" w:space="0" w:color="auto"/>
              <w:bottom w:val="single" w:sz="4" w:space="0" w:color="auto"/>
              <w:right w:val="single" w:sz="4" w:space="0" w:color="auto"/>
            </w:tcBorders>
            <w:vAlign w:val="center"/>
            <w:hideMark/>
          </w:tcPr>
          <w:p>
            <w:pPr>
              <w:jc w:val="left"/>
            </w:pPr>
            <w:r>
              <w:rPr>
                <w:b/>
              </w:rPr>
              <w:t>0% des matériaux non connu</w:t>
            </w:r>
          </w:p>
        </w:tc>
      </w:tr>
      <w:tr>
        <w:tc>
          <w:tcPr>
            <w:tcW w:w="0" w:type="auto"/>
            <w:vMerge/>
            <w:tcBorders>
              <w:top w:val="single" w:sz="4" w:space="0" w:color="auto"/>
              <w:left w:val="single" w:sz="4" w:space="0" w:color="auto"/>
              <w:bottom w:val="single" w:sz="4" w:space="0" w:color="auto"/>
              <w:right w:val="single" w:sz="4" w:space="0" w:color="auto"/>
            </w:tcBorders>
            <w:vAlign w:val="center"/>
            <w:hideMark/>
          </w:tcPr>
          <w:p>
            <w:pPr>
              <w:spacing w:before="0"/>
              <w:jc w:val="left"/>
              <w:rPr>
                <w:b/>
              </w:rPr>
            </w:pPr>
          </w:p>
        </w:tc>
        <w:tc>
          <w:tcPr>
            <w:tcW w:w="2638" w:type="dxa"/>
            <w:tcBorders>
              <w:top w:val="single" w:sz="4" w:space="0" w:color="auto"/>
              <w:left w:val="single" w:sz="4" w:space="0" w:color="auto"/>
              <w:bottom w:val="single" w:sz="4" w:space="0" w:color="auto"/>
              <w:right w:val="single" w:sz="4" w:space="0" w:color="auto"/>
            </w:tcBorders>
            <w:vAlign w:val="center"/>
            <w:hideMark/>
          </w:tcPr>
          <w:p>
            <w:pPr>
              <w:jc w:val="left"/>
            </w:pPr>
            <w:r>
              <w:t>Diamètre</w:t>
            </w:r>
          </w:p>
        </w:tc>
        <w:tc>
          <w:tcPr>
            <w:tcW w:w="1566" w:type="dxa"/>
            <w:tcBorders>
              <w:top w:val="single" w:sz="4" w:space="0" w:color="auto"/>
              <w:left w:val="single" w:sz="4" w:space="0" w:color="auto"/>
              <w:bottom w:val="single" w:sz="4" w:space="0" w:color="auto"/>
              <w:right w:val="single" w:sz="4" w:space="0" w:color="auto"/>
            </w:tcBorders>
            <w:vAlign w:val="center"/>
            <w:hideMark/>
          </w:tcPr>
          <w:p>
            <w:pPr>
              <w:jc w:val="center"/>
            </w:pPr>
            <w:r>
              <w:rPr>
                <w:noProof/>
              </w:rPr>
              <w:drawing>
                <wp:inline distT="0" distB="0" distL="0" distR="0">
                  <wp:extent cx="180975" cy="180975"/>
                  <wp:effectExtent l="19050" t="0" r="9525" b="0"/>
                  <wp:docPr id="1350"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p>
        </w:tc>
        <w:tc>
          <w:tcPr>
            <w:tcW w:w="3656" w:type="dxa"/>
            <w:tcBorders>
              <w:top w:val="single" w:sz="4" w:space="0" w:color="auto"/>
              <w:left w:val="single" w:sz="4" w:space="0" w:color="auto"/>
              <w:bottom w:val="single" w:sz="4" w:space="0" w:color="auto"/>
              <w:right w:val="single" w:sz="4" w:space="0" w:color="auto"/>
            </w:tcBorders>
            <w:vAlign w:val="center"/>
            <w:hideMark/>
          </w:tcPr>
          <w:p>
            <w:pPr>
              <w:jc w:val="left"/>
            </w:pPr>
            <w:r>
              <w:rPr>
                <w:b/>
              </w:rPr>
              <w:t>0% des diamètres non connu</w:t>
            </w:r>
          </w:p>
        </w:tc>
      </w:tr>
      <w:tr>
        <w:tc>
          <w:tcPr>
            <w:tcW w:w="0" w:type="auto"/>
            <w:vMerge/>
            <w:tcBorders>
              <w:top w:val="single" w:sz="4" w:space="0" w:color="auto"/>
              <w:left w:val="single" w:sz="4" w:space="0" w:color="auto"/>
              <w:bottom w:val="single" w:sz="4" w:space="0" w:color="auto"/>
              <w:right w:val="single" w:sz="4" w:space="0" w:color="auto"/>
            </w:tcBorders>
            <w:vAlign w:val="center"/>
            <w:hideMark/>
          </w:tcPr>
          <w:p>
            <w:pPr>
              <w:spacing w:before="0"/>
              <w:jc w:val="left"/>
              <w:rPr>
                <w:b/>
              </w:rPr>
            </w:pPr>
          </w:p>
        </w:tc>
        <w:tc>
          <w:tcPr>
            <w:tcW w:w="2638" w:type="dxa"/>
            <w:tcBorders>
              <w:top w:val="single" w:sz="4" w:space="0" w:color="auto"/>
              <w:left w:val="single" w:sz="4" w:space="0" w:color="auto"/>
              <w:bottom w:val="single" w:sz="4" w:space="0" w:color="auto"/>
              <w:right w:val="single" w:sz="4" w:space="0" w:color="auto"/>
            </w:tcBorders>
            <w:vAlign w:val="center"/>
            <w:hideMark/>
          </w:tcPr>
          <w:p>
            <w:pPr>
              <w:jc w:val="left"/>
            </w:pPr>
            <w:r>
              <w:t>Linéaire</w:t>
            </w:r>
          </w:p>
        </w:tc>
        <w:tc>
          <w:tcPr>
            <w:tcW w:w="1566" w:type="dxa"/>
            <w:tcBorders>
              <w:top w:val="single" w:sz="4" w:space="0" w:color="auto"/>
              <w:left w:val="single" w:sz="4" w:space="0" w:color="auto"/>
              <w:bottom w:val="single" w:sz="4" w:space="0" w:color="auto"/>
              <w:right w:val="single" w:sz="4" w:space="0" w:color="auto"/>
            </w:tcBorders>
            <w:vAlign w:val="center"/>
            <w:hideMark/>
          </w:tcPr>
          <w:p>
            <w:pPr>
              <w:jc w:val="center"/>
            </w:pPr>
            <w:r>
              <w:t xml:space="preserve"> </w:t>
            </w:r>
            <w:r>
              <w:rPr>
                <w:noProof/>
              </w:rPr>
              <w:drawing>
                <wp:inline distT="0" distB="0" distL="0" distR="0">
                  <wp:extent cx="180975" cy="180975"/>
                  <wp:effectExtent l="19050" t="0" r="9525" b="0"/>
                  <wp:docPr id="246" name="Imag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8"/>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p>
        </w:tc>
        <w:tc>
          <w:tcPr>
            <w:tcW w:w="3656" w:type="dxa"/>
            <w:tcBorders>
              <w:top w:val="single" w:sz="4" w:space="0" w:color="auto"/>
              <w:left w:val="single" w:sz="4" w:space="0" w:color="auto"/>
              <w:bottom w:val="single" w:sz="4" w:space="0" w:color="auto"/>
              <w:right w:val="single" w:sz="4" w:space="0" w:color="auto"/>
            </w:tcBorders>
            <w:vAlign w:val="center"/>
            <w:hideMark/>
          </w:tcPr>
          <w:p>
            <w:pPr>
              <w:jc w:val="left"/>
            </w:pPr>
            <w:r>
              <w:t>Indiqué dans le SIG - Classe A</w:t>
            </w:r>
          </w:p>
        </w:tc>
      </w:tr>
      <w:tr>
        <w:tc>
          <w:tcPr>
            <w:tcW w:w="0" w:type="auto"/>
            <w:vMerge/>
            <w:tcBorders>
              <w:top w:val="single" w:sz="4" w:space="0" w:color="auto"/>
              <w:left w:val="single" w:sz="4" w:space="0" w:color="auto"/>
              <w:bottom w:val="single" w:sz="4" w:space="0" w:color="auto"/>
              <w:right w:val="single" w:sz="4" w:space="0" w:color="auto"/>
            </w:tcBorders>
            <w:vAlign w:val="center"/>
            <w:hideMark/>
          </w:tcPr>
          <w:p>
            <w:pPr>
              <w:spacing w:before="0"/>
              <w:jc w:val="left"/>
              <w:rPr>
                <w:b/>
              </w:rPr>
            </w:pPr>
          </w:p>
        </w:tc>
        <w:tc>
          <w:tcPr>
            <w:tcW w:w="2638" w:type="dxa"/>
            <w:tcBorders>
              <w:top w:val="single" w:sz="4" w:space="0" w:color="auto"/>
              <w:left w:val="single" w:sz="4" w:space="0" w:color="auto"/>
              <w:bottom w:val="single" w:sz="4" w:space="0" w:color="auto"/>
              <w:right w:val="single" w:sz="4" w:space="0" w:color="auto"/>
            </w:tcBorders>
            <w:vAlign w:val="center"/>
            <w:hideMark/>
          </w:tcPr>
          <w:p>
            <w:pPr>
              <w:jc w:val="left"/>
            </w:pPr>
            <w:r>
              <w:t>Date de pose</w:t>
            </w:r>
          </w:p>
        </w:tc>
        <w:tc>
          <w:tcPr>
            <w:tcW w:w="1566" w:type="dxa"/>
            <w:tcBorders>
              <w:top w:val="single" w:sz="4" w:space="0" w:color="auto"/>
              <w:left w:val="single" w:sz="4" w:space="0" w:color="auto"/>
              <w:bottom w:val="single" w:sz="4" w:space="0" w:color="auto"/>
              <w:right w:val="single" w:sz="4" w:space="0" w:color="auto"/>
            </w:tcBorders>
            <w:vAlign w:val="center"/>
            <w:hideMark/>
          </w:tcPr>
          <w:p>
            <w:pPr>
              <w:jc w:val="center"/>
            </w:pPr>
            <w:r>
              <w:rPr>
                <w:noProof/>
              </w:rPr>
              <w:drawing>
                <wp:inline distT="0" distB="0" distL="0" distR="0">
                  <wp:extent cx="180975" cy="180975"/>
                  <wp:effectExtent l="19050" t="0" r="9525" b="0"/>
                  <wp:docPr id="1357" name="Imag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8"/>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p>
        </w:tc>
        <w:tc>
          <w:tcPr>
            <w:tcW w:w="3656" w:type="dxa"/>
            <w:tcBorders>
              <w:top w:val="single" w:sz="4" w:space="0" w:color="auto"/>
              <w:left w:val="single" w:sz="4" w:space="0" w:color="auto"/>
              <w:bottom w:val="single" w:sz="4" w:space="0" w:color="auto"/>
              <w:right w:val="single" w:sz="4" w:space="0" w:color="auto"/>
            </w:tcBorders>
            <w:vAlign w:val="center"/>
            <w:hideMark/>
          </w:tcPr>
          <w:p>
            <w:pPr>
              <w:jc w:val="left"/>
            </w:pPr>
            <w:r>
              <w:t xml:space="preserve">Information disponible dans le SIG </w:t>
            </w:r>
            <w:r>
              <w:rPr>
                <w:b/>
              </w:rPr>
              <w:t>(93% du linéaire connu)</w:t>
            </w:r>
          </w:p>
        </w:tc>
      </w:tr>
      <w:tr>
        <w:tc>
          <w:tcPr>
            <w:tcW w:w="0" w:type="auto"/>
            <w:vMerge/>
            <w:tcBorders>
              <w:top w:val="single" w:sz="4" w:space="0" w:color="auto"/>
              <w:left w:val="single" w:sz="4" w:space="0" w:color="auto"/>
              <w:bottom w:val="single" w:sz="4" w:space="0" w:color="auto"/>
              <w:right w:val="single" w:sz="4" w:space="0" w:color="auto"/>
            </w:tcBorders>
            <w:vAlign w:val="center"/>
            <w:hideMark/>
          </w:tcPr>
          <w:p>
            <w:pPr>
              <w:spacing w:before="0"/>
              <w:jc w:val="left"/>
              <w:rPr>
                <w:b/>
              </w:rPr>
            </w:pPr>
          </w:p>
        </w:tc>
        <w:tc>
          <w:tcPr>
            <w:tcW w:w="2638" w:type="dxa"/>
            <w:tcBorders>
              <w:top w:val="single" w:sz="4" w:space="0" w:color="auto"/>
              <w:left w:val="single" w:sz="4" w:space="0" w:color="auto"/>
              <w:bottom w:val="single" w:sz="4" w:space="0" w:color="auto"/>
              <w:right w:val="single" w:sz="4" w:space="0" w:color="auto"/>
            </w:tcBorders>
            <w:vAlign w:val="center"/>
            <w:hideMark/>
          </w:tcPr>
          <w:p>
            <w:pPr>
              <w:jc w:val="left"/>
            </w:pPr>
            <w:r>
              <w:t>Ouvrages / fontainerie</w:t>
            </w:r>
          </w:p>
        </w:tc>
        <w:tc>
          <w:tcPr>
            <w:tcW w:w="1566" w:type="dxa"/>
            <w:tcBorders>
              <w:top w:val="single" w:sz="4" w:space="0" w:color="auto"/>
              <w:left w:val="single" w:sz="4" w:space="0" w:color="auto"/>
              <w:bottom w:val="single" w:sz="4" w:space="0" w:color="auto"/>
              <w:right w:val="single" w:sz="4" w:space="0" w:color="auto"/>
            </w:tcBorders>
            <w:vAlign w:val="center"/>
            <w:hideMark/>
          </w:tcPr>
          <w:p>
            <w:pPr>
              <w:jc w:val="center"/>
            </w:pPr>
            <w:r>
              <w:rPr>
                <w:noProof/>
              </w:rPr>
              <w:drawing>
                <wp:inline distT="0" distB="0" distL="0" distR="0">
                  <wp:extent cx="180975" cy="180975"/>
                  <wp:effectExtent l="19050" t="0" r="9525" b="0"/>
                  <wp:docPr id="1365" name="Imag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0"/>
                          <pic:cNvPicPr>
                            <a:picLocks noChangeAspect="1" noChangeArrowheads="1"/>
                          </pic:cNvPicPr>
                        </pic:nvPicPr>
                        <pic:blipFill>
                          <a:blip r:embed="rId1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p>
        </w:tc>
        <w:tc>
          <w:tcPr>
            <w:tcW w:w="3656" w:type="dxa"/>
            <w:tcBorders>
              <w:top w:val="single" w:sz="4" w:space="0" w:color="auto"/>
              <w:left w:val="single" w:sz="4" w:space="0" w:color="auto"/>
              <w:bottom w:val="single" w:sz="4" w:space="0" w:color="auto"/>
              <w:right w:val="single" w:sz="4" w:space="0" w:color="auto"/>
            </w:tcBorders>
            <w:vAlign w:val="center"/>
            <w:hideMark/>
          </w:tcPr>
          <w:p>
            <w:pPr>
              <w:jc w:val="left"/>
            </w:pPr>
            <w:r>
              <w:t xml:space="preserve">Plan réseau numérisé (format </w:t>
            </w:r>
            <w:proofErr w:type="spellStart"/>
            <w:r>
              <w:t>shp</w:t>
            </w:r>
            <w:proofErr w:type="spellEnd"/>
            <w:r>
              <w:t>)</w:t>
            </w:r>
          </w:p>
        </w:tc>
      </w:tr>
    </w:tbl>
    <w:p/>
    <w:p/>
    <w:p/>
    <w:p/>
    <w:p>
      <w:r>
        <w:lastRenderedPageBreak/>
        <w:t xml:space="preserve">On recense d’après la reconnaissance du réseau et des plans existants 796 regards. </w:t>
      </w:r>
    </w:p>
    <w:p>
      <w:pPr>
        <w:pStyle w:val="Retrait20"/>
        <w:tabs>
          <w:tab w:val="num" w:pos="1324"/>
        </w:tabs>
        <w:ind w:left="1304"/>
      </w:pPr>
      <w:r>
        <w:t>Regards accessibles : 702 ;</w:t>
      </w:r>
    </w:p>
    <w:p>
      <w:pPr>
        <w:pStyle w:val="Retrait20"/>
        <w:tabs>
          <w:tab w:val="num" w:pos="1324"/>
        </w:tabs>
        <w:ind w:left="1304"/>
      </w:pPr>
      <w:r>
        <w:t>Regards non trouvés : 57 ;</w:t>
      </w:r>
    </w:p>
    <w:p>
      <w:pPr>
        <w:pStyle w:val="Retrait20"/>
        <w:tabs>
          <w:tab w:val="num" w:pos="1324"/>
        </w:tabs>
        <w:ind w:left="1304"/>
      </w:pPr>
      <w:r>
        <w:t>Regards non accessibles: 2 ;</w:t>
      </w:r>
    </w:p>
    <w:p>
      <w:pPr>
        <w:pStyle w:val="Retrait20"/>
        <w:tabs>
          <w:tab w:val="num" w:pos="1324"/>
        </w:tabs>
        <w:ind w:left="1304"/>
      </w:pPr>
      <w:r>
        <w:t>Regards bloqués ou sous voirie : 35 ;</w:t>
      </w:r>
    </w:p>
    <w:p>
      <w:r>
        <w:t xml:space="preserve">Sur les 690 regards qui ont été visités lors de la reconnaissance du réseau, 83% des regards ont un état très bon à correct, 9% ont un état moyen à médiocre et 8% ont un état mauvais à très mauvais. </w:t>
      </w:r>
    </w:p>
    <w:p/>
    <w:p>
      <w:pPr>
        <w:pStyle w:val="Titre2"/>
      </w:pPr>
      <w:bookmarkStart w:id="13" w:name="_Toc46480258"/>
      <w:bookmarkStart w:id="14" w:name="_Toc92353820"/>
      <w:r>
        <w:t>Fonctionnement et performance de l’unité de dépollution des eaux usées</w:t>
      </w:r>
      <w:bookmarkEnd w:id="13"/>
      <w:bookmarkEnd w:id="14"/>
    </w:p>
    <w:p>
      <w:pPr>
        <w:spacing w:after="240"/>
      </w:pPr>
      <w:r>
        <w:t xml:space="preserve">La station est de type </w:t>
      </w:r>
      <w:r>
        <w:rPr>
          <w:rFonts w:cs="Arial"/>
          <w:iCs/>
          <w:lang w:eastAsia="ar-SA"/>
        </w:rPr>
        <w:t>boue activée à faible charge</w:t>
      </w:r>
      <w:r>
        <w:t>. Elle a été construite et mise en service en 2012. Elle est exploitée en délégation du service public par la société Véolia. Les principales caractéristiques de la station sont récapitulées dans le tableau ci-après.</w:t>
      </w:r>
    </w:p>
    <w:tbl>
      <w:tblPr>
        <w:tblStyle w:val="Grilledutableau"/>
        <w:tblW w:w="0" w:type="auto"/>
        <w:tblInd w:w="108" w:type="dxa"/>
        <w:tblLook w:val="04A0" w:firstRow="1" w:lastRow="0" w:firstColumn="1" w:lastColumn="0" w:noHBand="0" w:noVBand="1"/>
      </w:tblPr>
      <w:tblGrid>
        <w:gridCol w:w="1642"/>
        <w:gridCol w:w="626"/>
        <w:gridCol w:w="851"/>
      </w:tblGrid>
      <w:tr>
        <w:tc>
          <w:tcPr>
            <w:tcW w:w="1642" w:type="dxa"/>
            <w:shd w:val="clear" w:color="auto" w:fill="8DB3E2" w:themeFill="text2" w:themeFillTint="66"/>
            <w:vAlign w:val="center"/>
          </w:tcPr>
          <w:p>
            <w:pPr>
              <w:spacing w:before="60" w:after="60"/>
              <w:jc w:val="center"/>
              <w:rPr>
                <w:b/>
                <w:color w:val="FFFFFF" w:themeColor="background1"/>
              </w:rPr>
            </w:pPr>
            <w:r>
              <w:rPr>
                <w:b/>
                <w:color w:val="FFFFFF" w:themeColor="background1"/>
              </w:rPr>
              <w:t>Paramètre</w:t>
            </w:r>
          </w:p>
        </w:tc>
        <w:tc>
          <w:tcPr>
            <w:tcW w:w="626" w:type="dxa"/>
            <w:shd w:val="clear" w:color="auto" w:fill="8DB3E2" w:themeFill="text2" w:themeFillTint="66"/>
            <w:vAlign w:val="center"/>
          </w:tcPr>
          <w:p>
            <w:pPr>
              <w:spacing w:before="60" w:after="60"/>
              <w:jc w:val="center"/>
              <w:rPr>
                <w:b/>
                <w:color w:val="FFFFFF" w:themeColor="background1"/>
              </w:rPr>
            </w:pPr>
            <w:r>
              <w:rPr>
                <w:b/>
                <w:color w:val="FFFFFF" w:themeColor="background1"/>
              </w:rPr>
              <w:t>Unité</w:t>
            </w:r>
          </w:p>
        </w:tc>
        <w:tc>
          <w:tcPr>
            <w:tcW w:w="851" w:type="dxa"/>
            <w:shd w:val="clear" w:color="auto" w:fill="8DB3E2" w:themeFill="text2" w:themeFillTint="66"/>
            <w:vAlign w:val="center"/>
          </w:tcPr>
          <w:p>
            <w:pPr>
              <w:spacing w:before="60" w:after="60"/>
              <w:jc w:val="center"/>
              <w:rPr>
                <w:b/>
                <w:color w:val="FFFFFF" w:themeColor="background1"/>
              </w:rPr>
            </w:pPr>
            <w:r>
              <w:rPr>
                <w:b/>
                <w:color w:val="FFFFFF" w:themeColor="background1"/>
              </w:rPr>
              <w:t>Valeur</w:t>
            </w:r>
          </w:p>
        </w:tc>
      </w:tr>
      <w:tr>
        <w:tc>
          <w:tcPr>
            <w:tcW w:w="1642" w:type="dxa"/>
            <w:vAlign w:val="center"/>
          </w:tcPr>
          <w:p>
            <w:pPr>
              <w:spacing w:before="60" w:after="60"/>
              <w:jc w:val="left"/>
            </w:pPr>
            <w:r>
              <w:t>Capacité nominale</w:t>
            </w:r>
          </w:p>
        </w:tc>
        <w:tc>
          <w:tcPr>
            <w:tcW w:w="626" w:type="dxa"/>
            <w:vAlign w:val="center"/>
          </w:tcPr>
          <w:p>
            <w:pPr>
              <w:spacing w:before="60" w:after="60"/>
              <w:jc w:val="center"/>
            </w:pPr>
            <w:r>
              <w:t>EH</w:t>
            </w:r>
          </w:p>
        </w:tc>
        <w:tc>
          <w:tcPr>
            <w:tcW w:w="851" w:type="dxa"/>
            <w:vAlign w:val="center"/>
          </w:tcPr>
          <w:p>
            <w:pPr>
              <w:spacing w:before="60" w:after="60"/>
              <w:jc w:val="center"/>
            </w:pPr>
            <w:r>
              <w:t>7 000</w:t>
            </w:r>
          </w:p>
        </w:tc>
      </w:tr>
      <w:tr>
        <w:tc>
          <w:tcPr>
            <w:tcW w:w="1642" w:type="dxa"/>
            <w:vAlign w:val="center"/>
          </w:tcPr>
          <w:p>
            <w:pPr>
              <w:spacing w:before="60" w:after="60"/>
              <w:jc w:val="left"/>
            </w:pPr>
            <w:r>
              <w:t>Volume journalier</w:t>
            </w:r>
          </w:p>
        </w:tc>
        <w:tc>
          <w:tcPr>
            <w:tcW w:w="626" w:type="dxa"/>
            <w:vAlign w:val="center"/>
          </w:tcPr>
          <w:p>
            <w:pPr>
              <w:spacing w:before="60" w:after="60"/>
              <w:jc w:val="center"/>
            </w:pPr>
            <w:r>
              <w:t>m</w:t>
            </w:r>
            <w:r>
              <w:rPr>
                <w:vertAlign w:val="superscript"/>
              </w:rPr>
              <w:t>3</w:t>
            </w:r>
            <w:r>
              <w:t>/j</w:t>
            </w:r>
          </w:p>
        </w:tc>
        <w:tc>
          <w:tcPr>
            <w:tcW w:w="851" w:type="dxa"/>
            <w:vAlign w:val="center"/>
          </w:tcPr>
          <w:p>
            <w:pPr>
              <w:spacing w:before="60" w:after="60"/>
              <w:jc w:val="center"/>
            </w:pPr>
            <w:r>
              <w:t>1 400</w:t>
            </w:r>
          </w:p>
        </w:tc>
      </w:tr>
      <w:tr>
        <w:tc>
          <w:tcPr>
            <w:tcW w:w="1642" w:type="dxa"/>
            <w:vAlign w:val="center"/>
          </w:tcPr>
          <w:p>
            <w:pPr>
              <w:spacing w:before="60" w:after="60"/>
              <w:jc w:val="left"/>
            </w:pPr>
            <w:r>
              <w:t>Débit de pointe</w:t>
            </w:r>
          </w:p>
        </w:tc>
        <w:tc>
          <w:tcPr>
            <w:tcW w:w="626" w:type="dxa"/>
            <w:vAlign w:val="center"/>
          </w:tcPr>
          <w:p>
            <w:pPr>
              <w:spacing w:before="60" w:after="60"/>
              <w:jc w:val="center"/>
            </w:pPr>
            <w:r>
              <w:t>m</w:t>
            </w:r>
            <w:r>
              <w:rPr>
                <w:vertAlign w:val="superscript"/>
              </w:rPr>
              <w:t>3</w:t>
            </w:r>
            <w:r>
              <w:t>/h</w:t>
            </w:r>
          </w:p>
        </w:tc>
        <w:tc>
          <w:tcPr>
            <w:tcW w:w="851" w:type="dxa"/>
            <w:vAlign w:val="center"/>
          </w:tcPr>
          <w:p>
            <w:pPr>
              <w:spacing w:before="60" w:after="60"/>
              <w:jc w:val="center"/>
            </w:pPr>
            <w:r>
              <w:t>150</w:t>
            </w:r>
          </w:p>
        </w:tc>
      </w:tr>
      <w:tr>
        <w:tc>
          <w:tcPr>
            <w:tcW w:w="1642" w:type="dxa"/>
            <w:vAlign w:val="center"/>
          </w:tcPr>
          <w:p>
            <w:pPr>
              <w:spacing w:before="60" w:after="60"/>
              <w:jc w:val="left"/>
            </w:pPr>
            <w:r>
              <w:t>DBO</w:t>
            </w:r>
            <w:r>
              <w:rPr>
                <w:vertAlign w:val="subscript"/>
              </w:rPr>
              <w:t>5</w:t>
            </w:r>
          </w:p>
        </w:tc>
        <w:tc>
          <w:tcPr>
            <w:tcW w:w="626" w:type="dxa"/>
            <w:vAlign w:val="center"/>
          </w:tcPr>
          <w:p>
            <w:pPr>
              <w:spacing w:before="60" w:after="60"/>
              <w:jc w:val="center"/>
            </w:pPr>
            <w:r>
              <w:t>kg/j</w:t>
            </w:r>
          </w:p>
        </w:tc>
        <w:tc>
          <w:tcPr>
            <w:tcW w:w="851" w:type="dxa"/>
            <w:vAlign w:val="center"/>
          </w:tcPr>
          <w:p>
            <w:pPr>
              <w:spacing w:before="60" w:after="60"/>
              <w:jc w:val="center"/>
            </w:pPr>
            <w:r>
              <w:t>420</w:t>
            </w:r>
          </w:p>
        </w:tc>
      </w:tr>
      <w:tr>
        <w:tc>
          <w:tcPr>
            <w:tcW w:w="1642" w:type="dxa"/>
            <w:vAlign w:val="center"/>
          </w:tcPr>
          <w:p>
            <w:pPr>
              <w:spacing w:before="60" w:after="60"/>
              <w:jc w:val="left"/>
            </w:pPr>
            <w:r>
              <w:t>DCO</w:t>
            </w:r>
          </w:p>
        </w:tc>
        <w:tc>
          <w:tcPr>
            <w:tcW w:w="626" w:type="dxa"/>
            <w:vAlign w:val="center"/>
          </w:tcPr>
          <w:p>
            <w:pPr>
              <w:spacing w:before="60" w:after="60"/>
              <w:jc w:val="center"/>
            </w:pPr>
            <w:r>
              <w:t>kg/j</w:t>
            </w:r>
          </w:p>
        </w:tc>
        <w:tc>
          <w:tcPr>
            <w:tcW w:w="851" w:type="dxa"/>
            <w:vAlign w:val="center"/>
          </w:tcPr>
          <w:p>
            <w:pPr>
              <w:spacing w:before="60" w:after="60"/>
              <w:jc w:val="center"/>
            </w:pPr>
            <w:r>
              <w:t>1085</w:t>
            </w:r>
          </w:p>
        </w:tc>
      </w:tr>
      <w:tr>
        <w:tc>
          <w:tcPr>
            <w:tcW w:w="1642" w:type="dxa"/>
            <w:vAlign w:val="center"/>
          </w:tcPr>
          <w:p>
            <w:pPr>
              <w:spacing w:before="60" w:after="60"/>
              <w:jc w:val="left"/>
            </w:pPr>
            <w:r>
              <w:t>MES</w:t>
            </w:r>
          </w:p>
        </w:tc>
        <w:tc>
          <w:tcPr>
            <w:tcW w:w="626" w:type="dxa"/>
            <w:vAlign w:val="center"/>
          </w:tcPr>
          <w:p>
            <w:pPr>
              <w:spacing w:before="60" w:after="60"/>
              <w:jc w:val="center"/>
            </w:pPr>
            <w:r>
              <w:t>kg/j</w:t>
            </w:r>
          </w:p>
        </w:tc>
        <w:tc>
          <w:tcPr>
            <w:tcW w:w="851" w:type="dxa"/>
            <w:vAlign w:val="center"/>
          </w:tcPr>
          <w:p>
            <w:pPr>
              <w:spacing w:before="60" w:after="60"/>
              <w:jc w:val="center"/>
            </w:pPr>
            <w:r>
              <w:t>595</w:t>
            </w:r>
          </w:p>
        </w:tc>
      </w:tr>
    </w:tbl>
    <w:p>
      <w:r>
        <w:t>Sur la base des données d’auto-surveillance collectées entre 2016 et 2020, la charge organique (CBPO) de la station est d’environ 145% (610 / 420 kg/j) tandis que la charge hydraulique (percentile 95) est d’environ 105% (1 483 / 1 400 m</w:t>
      </w:r>
      <w:r>
        <w:rPr>
          <w:vertAlign w:val="superscript"/>
        </w:rPr>
        <w:t>3</w:t>
      </w:r>
      <w:r>
        <w:t>/j). Le réseau de collecte est très sensible aux eaux météoriques avec un volume important d’eaux claires parasites permanentes.</w:t>
      </w:r>
    </w:p>
    <w:p>
      <w:pPr>
        <w:rPr>
          <w:b/>
        </w:rPr>
      </w:pPr>
      <w:r>
        <w:rPr>
          <w:b/>
        </w:rPr>
        <w:t>Durant la période étudiée de 2016 à 2020, la conformité règlementaire en performance de l’unité de dépollution est de 100%.</w:t>
      </w:r>
    </w:p>
    <w:tbl>
      <w:tblPr>
        <w:tblW w:w="9784" w:type="dxa"/>
        <w:jc w:val="center"/>
        <w:tblCellMar>
          <w:left w:w="70" w:type="dxa"/>
          <w:right w:w="70" w:type="dxa"/>
        </w:tblCellMar>
        <w:tblLook w:val="04A0" w:firstRow="1" w:lastRow="0" w:firstColumn="1" w:lastColumn="0" w:noHBand="0" w:noVBand="1"/>
      </w:tblPr>
      <w:tblGrid>
        <w:gridCol w:w="2825"/>
        <w:gridCol w:w="1417"/>
        <w:gridCol w:w="1495"/>
        <w:gridCol w:w="1495"/>
        <w:gridCol w:w="1276"/>
        <w:gridCol w:w="1276"/>
      </w:tblGrid>
      <w:tr>
        <w:trPr>
          <w:trHeight w:val="630"/>
          <w:jc w:val="center"/>
        </w:trPr>
        <w:tc>
          <w:tcPr>
            <w:tcW w:w="2825" w:type="dxa"/>
            <w:tcBorders>
              <w:top w:val="single" w:sz="4" w:space="0" w:color="auto"/>
              <w:left w:val="single" w:sz="4" w:space="0" w:color="auto"/>
              <w:bottom w:val="single" w:sz="4" w:space="0" w:color="auto"/>
              <w:right w:val="single" w:sz="4" w:space="0" w:color="auto"/>
            </w:tcBorders>
            <w:shd w:val="clear" w:color="auto" w:fill="B8CCE4" w:themeFill="accent1" w:themeFillTint="66"/>
            <w:noWrap/>
            <w:vAlign w:val="center"/>
            <w:hideMark/>
          </w:tcPr>
          <w:p>
            <w:pPr>
              <w:spacing w:before="0"/>
              <w:jc w:val="center"/>
              <w:rPr>
                <w:rFonts w:cs="Arial"/>
                <w:b/>
                <w:bCs/>
                <w:color w:val="000000"/>
              </w:rPr>
            </w:pPr>
            <w:r>
              <w:rPr>
                <w:rFonts w:cs="Arial"/>
                <w:b/>
                <w:bCs/>
                <w:color w:val="000000"/>
              </w:rPr>
              <w:t>Paramètres</w:t>
            </w:r>
          </w:p>
        </w:tc>
        <w:tc>
          <w:tcPr>
            <w:tcW w:w="1417" w:type="dxa"/>
            <w:tcBorders>
              <w:top w:val="single" w:sz="4" w:space="0" w:color="auto"/>
              <w:left w:val="nil"/>
              <w:bottom w:val="single" w:sz="4" w:space="0" w:color="auto"/>
              <w:right w:val="single" w:sz="4" w:space="0" w:color="auto"/>
            </w:tcBorders>
            <w:shd w:val="clear" w:color="auto" w:fill="B8CCE4" w:themeFill="accent1" w:themeFillTint="66"/>
            <w:vAlign w:val="center"/>
            <w:hideMark/>
          </w:tcPr>
          <w:p>
            <w:pPr>
              <w:spacing w:before="0"/>
              <w:jc w:val="center"/>
              <w:rPr>
                <w:rFonts w:cs="Arial"/>
                <w:b/>
                <w:bCs/>
                <w:color w:val="000000"/>
              </w:rPr>
            </w:pPr>
            <w:r>
              <w:rPr>
                <w:rFonts w:cs="Arial"/>
                <w:b/>
                <w:bCs/>
                <w:color w:val="000000"/>
              </w:rPr>
              <w:t>Moyenne concentration sortie (mg/l)</w:t>
            </w:r>
          </w:p>
        </w:tc>
        <w:tc>
          <w:tcPr>
            <w:tcW w:w="1495" w:type="dxa"/>
            <w:tcBorders>
              <w:top w:val="single" w:sz="4" w:space="0" w:color="auto"/>
              <w:left w:val="nil"/>
              <w:bottom w:val="single" w:sz="4" w:space="0" w:color="auto"/>
              <w:right w:val="single" w:sz="4" w:space="0" w:color="auto"/>
            </w:tcBorders>
            <w:shd w:val="clear" w:color="auto" w:fill="B8CCE4" w:themeFill="accent1" w:themeFillTint="66"/>
            <w:vAlign w:val="center"/>
            <w:hideMark/>
          </w:tcPr>
          <w:p>
            <w:pPr>
              <w:spacing w:before="0"/>
              <w:jc w:val="center"/>
              <w:rPr>
                <w:rFonts w:cs="Arial"/>
                <w:b/>
                <w:bCs/>
                <w:color w:val="000000"/>
              </w:rPr>
            </w:pPr>
            <w:r>
              <w:rPr>
                <w:rFonts w:cs="Arial"/>
                <w:b/>
                <w:bCs/>
                <w:color w:val="000000"/>
              </w:rPr>
              <w:t>Rappel niveau de rejet (mg/l)</w:t>
            </w:r>
          </w:p>
        </w:tc>
        <w:tc>
          <w:tcPr>
            <w:tcW w:w="1495" w:type="dxa"/>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hideMark/>
          </w:tcPr>
          <w:p>
            <w:pPr>
              <w:spacing w:before="0"/>
              <w:jc w:val="center"/>
              <w:rPr>
                <w:rFonts w:cs="Arial"/>
                <w:b/>
                <w:bCs/>
                <w:color w:val="000000"/>
              </w:rPr>
            </w:pPr>
            <w:r>
              <w:rPr>
                <w:rFonts w:cs="Arial"/>
                <w:b/>
                <w:bCs/>
                <w:color w:val="000000"/>
              </w:rPr>
              <w:t>Moyenne flux sortie (kg/j)</w:t>
            </w:r>
          </w:p>
        </w:tc>
        <w:tc>
          <w:tcPr>
            <w:tcW w:w="1276" w:type="dxa"/>
            <w:tcBorders>
              <w:top w:val="single" w:sz="4" w:space="0" w:color="auto"/>
              <w:left w:val="nil"/>
              <w:bottom w:val="single" w:sz="4" w:space="0" w:color="auto"/>
              <w:right w:val="single" w:sz="4" w:space="0" w:color="auto"/>
            </w:tcBorders>
            <w:shd w:val="clear" w:color="auto" w:fill="B8CCE4" w:themeFill="accent1" w:themeFillTint="66"/>
            <w:vAlign w:val="center"/>
            <w:hideMark/>
          </w:tcPr>
          <w:p>
            <w:pPr>
              <w:spacing w:before="0"/>
              <w:jc w:val="center"/>
              <w:rPr>
                <w:rFonts w:cs="Arial"/>
                <w:b/>
                <w:bCs/>
                <w:color w:val="000000"/>
              </w:rPr>
            </w:pPr>
            <w:r>
              <w:rPr>
                <w:rFonts w:cs="Arial"/>
                <w:b/>
                <w:bCs/>
                <w:color w:val="000000"/>
              </w:rPr>
              <w:t>Moyenne rendement (%)</w:t>
            </w:r>
          </w:p>
        </w:tc>
        <w:tc>
          <w:tcPr>
            <w:tcW w:w="1276" w:type="dxa"/>
            <w:tcBorders>
              <w:top w:val="single" w:sz="4" w:space="0" w:color="auto"/>
              <w:left w:val="nil"/>
              <w:bottom w:val="single" w:sz="4" w:space="0" w:color="auto"/>
              <w:right w:val="single" w:sz="4" w:space="0" w:color="auto"/>
            </w:tcBorders>
            <w:shd w:val="clear" w:color="auto" w:fill="B8CCE4" w:themeFill="accent1" w:themeFillTint="66"/>
            <w:vAlign w:val="center"/>
          </w:tcPr>
          <w:p>
            <w:pPr>
              <w:spacing w:before="0"/>
              <w:jc w:val="center"/>
              <w:rPr>
                <w:rFonts w:cs="Arial"/>
                <w:b/>
                <w:bCs/>
                <w:color w:val="000000"/>
              </w:rPr>
            </w:pPr>
            <w:r>
              <w:rPr>
                <w:rFonts w:cs="Arial"/>
                <w:b/>
                <w:bCs/>
                <w:color w:val="000000"/>
              </w:rPr>
              <w:t>Rappel niveau de rejet (%)</w:t>
            </w:r>
          </w:p>
        </w:tc>
      </w:tr>
      <w:tr>
        <w:trPr>
          <w:trHeight w:val="435"/>
          <w:jc w:val="center"/>
        </w:trPr>
        <w:tc>
          <w:tcPr>
            <w:tcW w:w="2825" w:type="dxa"/>
            <w:tcBorders>
              <w:top w:val="nil"/>
              <w:left w:val="single" w:sz="4" w:space="0" w:color="auto"/>
              <w:bottom w:val="single" w:sz="4" w:space="0" w:color="auto"/>
              <w:right w:val="single" w:sz="4" w:space="0" w:color="auto"/>
            </w:tcBorders>
            <w:noWrap/>
            <w:vAlign w:val="center"/>
            <w:hideMark/>
          </w:tcPr>
          <w:p>
            <w:pPr>
              <w:spacing w:before="0"/>
              <w:jc w:val="center"/>
              <w:rPr>
                <w:rFonts w:cs="Arial"/>
              </w:rPr>
            </w:pPr>
            <w:r>
              <w:rPr>
                <w:rFonts w:cs="Arial"/>
              </w:rPr>
              <w:t>DBO</w:t>
            </w:r>
            <w:r>
              <w:rPr>
                <w:rFonts w:cs="Arial"/>
                <w:vertAlign w:val="subscript"/>
              </w:rPr>
              <w:t>5</w:t>
            </w:r>
          </w:p>
        </w:tc>
        <w:tc>
          <w:tcPr>
            <w:tcW w:w="1417" w:type="dxa"/>
            <w:tcBorders>
              <w:top w:val="nil"/>
              <w:left w:val="nil"/>
              <w:bottom w:val="single" w:sz="4" w:space="0" w:color="auto"/>
              <w:right w:val="single" w:sz="4" w:space="0" w:color="auto"/>
            </w:tcBorders>
            <w:vAlign w:val="center"/>
            <w:hideMark/>
          </w:tcPr>
          <w:p>
            <w:pPr>
              <w:spacing w:before="0"/>
              <w:jc w:val="center"/>
              <w:rPr>
                <w:rFonts w:cs="Arial"/>
              </w:rPr>
            </w:pPr>
            <w:r>
              <w:rPr>
                <w:rFonts w:cs="Arial"/>
              </w:rPr>
              <w:t>3,2</w:t>
            </w:r>
          </w:p>
        </w:tc>
        <w:tc>
          <w:tcPr>
            <w:tcW w:w="1495" w:type="dxa"/>
            <w:tcBorders>
              <w:top w:val="single" w:sz="4" w:space="0" w:color="auto"/>
              <w:left w:val="nil"/>
              <w:bottom w:val="single" w:sz="4" w:space="0" w:color="auto"/>
              <w:right w:val="single" w:sz="4" w:space="0" w:color="auto"/>
            </w:tcBorders>
            <w:vAlign w:val="center"/>
            <w:hideMark/>
          </w:tcPr>
          <w:p>
            <w:pPr>
              <w:spacing w:before="0"/>
              <w:jc w:val="center"/>
              <w:rPr>
                <w:rFonts w:cs="Arial"/>
              </w:rPr>
            </w:pPr>
            <w:r>
              <w:rPr>
                <w:rFonts w:cs="Arial"/>
              </w:rPr>
              <w:t>25</w:t>
            </w:r>
          </w:p>
        </w:tc>
        <w:tc>
          <w:tcPr>
            <w:tcW w:w="1495" w:type="dxa"/>
            <w:tcBorders>
              <w:top w:val="nil"/>
              <w:left w:val="single" w:sz="4" w:space="0" w:color="auto"/>
              <w:bottom w:val="single" w:sz="4" w:space="0" w:color="auto"/>
              <w:right w:val="single" w:sz="4" w:space="0" w:color="auto"/>
            </w:tcBorders>
            <w:vAlign w:val="center"/>
            <w:hideMark/>
          </w:tcPr>
          <w:p>
            <w:pPr>
              <w:spacing w:before="0"/>
              <w:jc w:val="center"/>
              <w:rPr>
                <w:rFonts w:cs="Arial"/>
              </w:rPr>
            </w:pPr>
            <w:r>
              <w:rPr>
                <w:rFonts w:cs="Arial"/>
              </w:rPr>
              <w:t>4,1</w:t>
            </w:r>
          </w:p>
        </w:tc>
        <w:tc>
          <w:tcPr>
            <w:tcW w:w="1276" w:type="dxa"/>
            <w:tcBorders>
              <w:top w:val="nil"/>
              <w:left w:val="nil"/>
              <w:bottom w:val="single" w:sz="4" w:space="0" w:color="auto"/>
              <w:right w:val="single" w:sz="4" w:space="0" w:color="auto"/>
            </w:tcBorders>
            <w:vAlign w:val="center"/>
            <w:hideMark/>
          </w:tcPr>
          <w:p>
            <w:pPr>
              <w:spacing w:before="0"/>
              <w:jc w:val="center"/>
              <w:rPr>
                <w:rFonts w:cs="Arial"/>
              </w:rPr>
            </w:pPr>
            <w:r>
              <w:rPr>
                <w:rFonts w:cs="Arial"/>
              </w:rPr>
              <w:t>98,5</w:t>
            </w:r>
          </w:p>
        </w:tc>
        <w:tc>
          <w:tcPr>
            <w:tcW w:w="1276" w:type="dxa"/>
            <w:tcBorders>
              <w:top w:val="nil"/>
              <w:left w:val="nil"/>
              <w:bottom w:val="single" w:sz="4" w:space="0" w:color="auto"/>
              <w:right w:val="single" w:sz="4" w:space="0" w:color="auto"/>
            </w:tcBorders>
            <w:vAlign w:val="center"/>
          </w:tcPr>
          <w:p>
            <w:pPr>
              <w:spacing w:before="0"/>
              <w:jc w:val="center"/>
              <w:rPr>
                <w:rFonts w:cs="Arial"/>
              </w:rPr>
            </w:pPr>
            <w:r>
              <w:rPr>
                <w:rFonts w:cs="Arial"/>
              </w:rPr>
              <w:t>80</w:t>
            </w:r>
          </w:p>
        </w:tc>
      </w:tr>
      <w:tr>
        <w:trPr>
          <w:trHeight w:val="435"/>
          <w:jc w:val="center"/>
        </w:trPr>
        <w:tc>
          <w:tcPr>
            <w:tcW w:w="2825" w:type="dxa"/>
            <w:tcBorders>
              <w:top w:val="nil"/>
              <w:left w:val="single" w:sz="4" w:space="0" w:color="auto"/>
              <w:bottom w:val="single" w:sz="4" w:space="0" w:color="auto"/>
              <w:right w:val="single" w:sz="4" w:space="0" w:color="auto"/>
            </w:tcBorders>
            <w:noWrap/>
            <w:vAlign w:val="center"/>
            <w:hideMark/>
          </w:tcPr>
          <w:p>
            <w:pPr>
              <w:spacing w:before="0"/>
              <w:jc w:val="center"/>
              <w:rPr>
                <w:rFonts w:cs="Arial"/>
              </w:rPr>
            </w:pPr>
            <w:r>
              <w:rPr>
                <w:rFonts w:cs="Arial"/>
              </w:rPr>
              <w:t>DCO</w:t>
            </w:r>
          </w:p>
        </w:tc>
        <w:tc>
          <w:tcPr>
            <w:tcW w:w="1417" w:type="dxa"/>
            <w:tcBorders>
              <w:top w:val="nil"/>
              <w:left w:val="nil"/>
              <w:bottom w:val="single" w:sz="4" w:space="0" w:color="auto"/>
              <w:right w:val="single" w:sz="4" w:space="0" w:color="auto"/>
            </w:tcBorders>
            <w:vAlign w:val="center"/>
            <w:hideMark/>
          </w:tcPr>
          <w:p>
            <w:pPr>
              <w:keepNext/>
              <w:spacing w:before="0"/>
              <w:jc w:val="center"/>
              <w:rPr>
                <w:rFonts w:cs="Arial"/>
              </w:rPr>
            </w:pPr>
            <w:r>
              <w:rPr>
                <w:rFonts w:cs="Arial"/>
              </w:rPr>
              <w:t>27,8</w:t>
            </w:r>
          </w:p>
        </w:tc>
        <w:tc>
          <w:tcPr>
            <w:tcW w:w="1495" w:type="dxa"/>
            <w:tcBorders>
              <w:top w:val="single" w:sz="4" w:space="0" w:color="auto"/>
              <w:left w:val="nil"/>
              <w:bottom w:val="single" w:sz="4" w:space="0" w:color="auto"/>
              <w:right w:val="single" w:sz="4" w:space="0" w:color="auto"/>
            </w:tcBorders>
            <w:vAlign w:val="center"/>
            <w:hideMark/>
          </w:tcPr>
          <w:p>
            <w:pPr>
              <w:spacing w:before="0"/>
              <w:jc w:val="center"/>
              <w:rPr>
                <w:rFonts w:cs="Arial"/>
              </w:rPr>
            </w:pPr>
            <w:r>
              <w:rPr>
                <w:rFonts w:cs="Arial"/>
              </w:rPr>
              <w:t>125</w:t>
            </w:r>
          </w:p>
        </w:tc>
        <w:tc>
          <w:tcPr>
            <w:tcW w:w="1495" w:type="dxa"/>
            <w:tcBorders>
              <w:top w:val="nil"/>
              <w:left w:val="single" w:sz="4" w:space="0" w:color="auto"/>
              <w:bottom w:val="single" w:sz="4" w:space="0" w:color="auto"/>
              <w:right w:val="single" w:sz="4" w:space="0" w:color="auto"/>
            </w:tcBorders>
            <w:vAlign w:val="center"/>
            <w:hideMark/>
          </w:tcPr>
          <w:p>
            <w:pPr>
              <w:keepNext/>
              <w:spacing w:before="0"/>
              <w:jc w:val="center"/>
              <w:rPr>
                <w:rFonts w:cs="Arial"/>
              </w:rPr>
            </w:pPr>
            <w:r>
              <w:rPr>
                <w:rFonts w:cs="Arial"/>
              </w:rPr>
              <w:t>25,9</w:t>
            </w:r>
          </w:p>
        </w:tc>
        <w:tc>
          <w:tcPr>
            <w:tcW w:w="1276" w:type="dxa"/>
            <w:tcBorders>
              <w:top w:val="nil"/>
              <w:left w:val="nil"/>
              <w:bottom w:val="single" w:sz="4" w:space="0" w:color="auto"/>
              <w:right w:val="single" w:sz="4" w:space="0" w:color="auto"/>
            </w:tcBorders>
            <w:vAlign w:val="center"/>
            <w:hideMark/>
          </w:tcPr>
          <w:p>
            <w:pPr>
              <w:keepNext/>
              <w:spacing w:before="0"/>
              <w:jc w:val="center"/>
              <w:rPr>
                <w:rFonts w:cs="Arial"/>
              </w:rPr>
            </w:pPr>
            <w:r>
              <w:rPr>
                <w:rFonts w:cs="Arial"/>
              </w:rPr>
              <w:t>95,41</w:t>
            </w:r>
          </w:p>
        </w:tc>
        <w:tc>
          <w:tcPr>
            <w:tcW w:w="1276" w:type="dxa"/>
            <w:tcBorders>
              <w:top w:val="nil"/>
              <w:left w:val="nil"/>
              <w:bottom w:val="single" w:sz="4" w:space="0" w:color="auto"/>
              <w:right w:val="single" w:sz="4" w:space="0" w:color="auto"/>
            </w:tcBorders>
            <w:vAlign w:val="center"/>
          </w:tcPr>
          <w:p>
            <w:pPr>
              <w:keepNext/>
              <w:spacing w:before="0"/>
              <w:jc w:val="center"/>
              <w:rPr>
                <w:rFonts w:cs="Arial"/>
              </w:rPr>
            </w:pPr>
            <w:r>
              <w:rPr>
                <w:rFonts w:cs="Arial"/>
              </w:rPr>
              <w:t>75</w:t>
            </w:r>
          </w:p>
        </w:tc>
      </w:tr>
      <w:tr>
        <w:trPr>
          <w:trHeight w:val="435"/>
          <w:jc w:val="center"/>
        </w:trPr>
        <w:tc>
          <w:tcPr>
            <w:tcW w:w="2825" w:type="dxa"/>
            <w:tcBorders>
              <w:top w:val="nil"/>
              <w:left w:val="single" w:sz="4" w:space="0" w:color="auto"/>
              <w:bottom w:val="single" w:sz="4" w:space="0" w:color="auto"/>
              <w:right w:val="single" w:sz="4" w:space="0" w:color="auto"/>
            </w:tcBorders>
            <w:noWrap/>
            <w:vAlign w:val="center"/>
            <w:hideMark/>
          </w:tcPr>
          <w:p>
            <w:pPr>
              <w:spacing w:before="0"/>
              <w:jc w:val="center"/>
              <w:rPr>
                <w:rFonts w:cs="Arial"/>
              </w:rPr>
            </w:pPr>
            <w:r>
              <w:rPr>
                <w:rFonts w:cs="Arial"/>
              </w:rPr>
              <w:t>MES</w:t>
            </w:r>
          </w:p>
        </w:tc>
        <w:tc>
          <w:tcPr>
            <w:tcW w:w="1417" w:type="dxa"/>
            <w:tcBorders>
              <w:top w:val="nil"/>
              <w:left w:val="nil"/>
              <w:bottom w:val="single" w:sz="4" w:space="0" w:color="auto"/>
              <w:right w:val="single" w:sz="4" w:space="0" w:color="auto"/>
            </w:tcBorders>
            <w:vAlign w:val="center"/>
            <w:hideMark/>
          </w:tcPr>
          <w:p>
            <w:pPr>
              <w:spacing w:before="0"/>
              <w:jc w:val="center"/>
              <w:rPr>
                <w:rFonts w:cs="Arial"/>
              </w:rPr>
            </w:pPr>
            <w:r>
              <w:rPr>
                <w:rFonts w:cs="Arial"/>
              </w:rPr>
              <w:t>5,1</w:t>
            </w:r>
          </w:p>
        </w:tc>
        <w:tc>
          <w:tcPr>
            <w:tcW w:w="1495" w:type="dxa"/>
            <w:tcBorders>
              <w:top w:val="single" w:sz="4" w:space="0" w:color="auto"/>
              <w:left w:val="nil"/>
              <w:bottom w:val="single" w:sz="4" w:space="0" w:color="auto"/>
              <w:right w:val="single" w:sz="4" w:space="0" w:color="auto"/>
            </w:tcBorders>
            <w:vAlign w:val="center"/>
            <w:hideMark/>
          </w:tcPr>
          <w:p>
            <w:pPr>
              <w:spacing w:before="0"/>
              <w:jc w:val="center"/>
              <w:rPr>
                <w:rFonts w:cs="Arial"/>
              </w:rPr>
            </w:pPr>
            <w:r>
              <w:rPr>
                <w:rFonts w:cs="Arial"/>
              </w:rPr>
              <w:t>35</w:t>
            </w:r>
          </w:p>
        </w:tc>
        <w:tc>
          <w:tcPr>
            <w:tcW w:w="1495" w:type="dxa"/>
            <w:tcBorders>
              <w:top w:val="nil"/>
              <w:left w:val="single" w:sz="4" w:space="0" w:color="auto"/>
              <w:bottom w:val="single" w:sz="4" w:space="0" w:color="auto"/>
              <w:right w:val="single" w:sz="4" w:space="0" w:color="auto"/>
            </w:tcBorders>
            <w:vAlign w:val="center"/>
            <w:hideMark/>
          </w:tcPr>
          <w:p>
            <w:pPr>
              <w:spacing w:before="0"/>
              <w:jc w:val="center"/>
              <w:rPr>
                <w:rFonts w:cs="Arial"/>
              </w:rPr>
            </w:pPr>
            <w:r>
              <w:rPr>
                <w:rFonts w:cs="Arial"/>
              </w:rPr>
              <w:t>5,2</w:t>
            </w:r>
          </w:p>
        </w:tc>
        <w:tc>
          <w:tcPr>
            <w:tcW w:w="1276" w:type="dxa"/>
            <w:tcBorders>
              <w:top w:val="nil"/>
              <w:left w:val="nil"/>
              <w:bottom w:val="single" w:sz="4" w:space="0" w:color="auto"/>
              <w:right w:val="single" w:sz="4" w:space="0" w:color="auto"/>
            </w:tcBorders>
            <w:vAlign w:val="center"/>
            <w:hideMark/>
          </w:tcPr>
          <w:p>
            <w:pPr>
              <w:spacing w:before="0"/>
              <w:jc w:val="center"/>
              <w:rPr>
                <w:rFonts w:cs="Arial"/>
              </w:rPr>
            </w:pPr>
            <w:r>
              <w:rPr>
                <w:rFonts w:cs="Arial"/>
              </w:rPr>
              <w:t>96,81</w:t>
            </w:r>
          </w:p>
        </w:tc>
        <w:tc>
          <w:tcPr>
            <w:tcW w:w="1276" w:type="dxa"/>
            <w:tcBorders>
              <w:top w:val="nil"/>
              <w:left w:val="nil"/>
              <w:bottom w:val="single" w:sz="4" w:space="0" w:color="auto"/>
              <w:right w:val="single" w:sz="4" w:space="0" w:color="auto"/>
            </w:tcBorders>
            <w:vAlign w:val="center"/>
          </w:tcPr>
          <w:p>
            <w:pPr>
              <w:spacing w:before="0"/>
              <w:jc w:val="center"/>
              <w:rPr>
                <w:rFonts w:cs="Arial"/>
              </w:rPr>
            </w:pPr>
            <w:r>
              <w:rPr>
                <w:rFonts w:cs="Arial"/>
              </w:rPr>
              <w:t>90</w:t>
            </w:r>
          </w:p>
        </w:tc>
      </w:tr>
      <w:tr>
        <w:trPr>
          <w:trHeight w:val="435"/>
          <w:jc w:val="center"/>
        </w:trPr>
        <w:tc>
          <w:tcPr>
            <w:tcW w:w="2825" w:type="dxa"/>
            <w:tcBorders>
              <w:top w:val="single" w:sz="4" w:space="0" w:color="auto"/>
              <w:left w:val="single" w:sz="4" w:space="0" w:color="auto"/>
              <w:bottom w:val="single" w:sz="4" w:space="0" w:color="auto"/>
              <w:right w:val="single" w:sz="4" w:space="0" w:color="auto"/>
            </w:tcBorders>
            <w:noWrap/>
            <w:vAlign w:val="center"/>
            <w:hideMark/>
          </w:tcPr>
          <w:p>
            <w:pPr>
              <w:spacing w:before="0"/>
              <w:jc w:val="center"/>
              <w:rPr>
                <w:rFonts w:cs="Arial"/>
              </w:rPr>
            </w:pPr>
            <w:r>
              <w:rPr>
                <w:rFonts w:cs="Arial"/>
              </w:rPr>
              <w:t>NGL</w:t>
            </w:r>
          </w:p>
        </w:tc>
        <w:tc>
          <w:tcPr>
            <w:tcW w:w="1417" w:type="dxa"/>
            <w:tcBorders>
              <w:top w:val="single" w:sz="4" w:space="0" w:color="auto"/>
              <w:left w:val="nil"/>
              <w:bottom w:val="single" w:sz="4" w:space="0" w:color="auto"/>
              <w:right w:val="single" w:sz="4" w:space="0" w:color="auto"/>
            </w:tcBorders>
            <w:vAlign w:val="center"/>
            <w:hideMark/>
          </w:tcPr>
          <w:p>
            <w:pPr>
              <w:spacing w:before="0"/>
              <w:jc w:val="center"/>
              <w:rPr>
                <w:rFonts w:cs="Arial"/>
              </w:rPr>
            </w:pPr>
            <w:r>
              <w:rPr>
                <w:rFonts w:cs="Arial"/>
              </w:rPr>
              <w:t>5,5</w:t>
            </w:r>
          </w:p>
        </w:tc>
        <w:tc>
          <w:tcPr>
            <w:tcW w:w="1495" w:type="dxa"/>
            <w:tcBorders>
              <w:top w:val="single" w:sz="4" w:space="0" w:color="auto"/>
              <w:left w:val="nil"/>
              <w:bottom w:val="single" w:sz="4" w:space="0" w:color="auto"/>
              <w:right w:val="single" w:sz="4" w:space="0" w:color="auto"/>
            </w:tcBorders>
            <w:vAlign w:val="center"/>
            <w:hideMark/>
          </w:tcPr>
          <w:p>
            <w:pPr>
              <w:spacing w:before="0"/>
              <w:jc w:val="center"/>
              <w:rPr>
                <w:rFonts w:cs="Arial"/>
              </w:rPr>
            </w:pPr>
            <w:r>
              <w:rPr>
                <w:rFonts w:cs="Arial"/>
              </w:rPr>
              <w:t>15</w:t>
            </w:r>
          </w:p>
        </w:tc>
        <w:tc>
          <w:tcPr>
            <w:tcW w:w="1495" w:type="dxa"/>
            <w:tcBorders>
              <w:top w:val="single" w:sz="4" w:space="0" w:color="auto"/>
              <w:left w:val="single" w:sz="4" w:space="0" w:color="auto"/>
              <w:bottom w:val="single" w:sz="4" w:space="0" w:color="auto"/>
              <w:right w:val="single" w:sz="4" w:space="0" w:color="auto"/>
            </w:tcBorders>
            <w:vAlign w:val="center"/>
            <w:hideMark/>
          </w:tcPr>
          <w:p>
            <w:pPr>
              <w:spacing w:before="0"/>
              <w:jc w:val="center"/>
              <w:rPr>
                <w:rFonts w:cs="Arial"/>
              </w:rPr>
            </w:pPr>
            <w:r>
              <w:rPr>
                <w:rFonts w:cs="Arial"/>
              </w:rPr>
              <w:t>4,9</w:t>
            </w:r>
          </w:p>
        </w:tc>
        <w:tc>
          <w:tcPr>
            <w:tcW w:w="1276" w:type="dxa"/>
            <w:tcBorders>
              <w:top w:val="single" w:sz="4" w:space="0" w:color="auto"/>
              <w:left w:val="nil"/>
              <w:bottom w:val="single" w:sz="4" w:space="0" w:color="auto"/>
              <w:right w:val="single" w:sz="4" w:space="0" w:color="auto"/>
            </w:tcBorders>
            <w:vAlign w:val="center"/>
            <w:hideMark/>
          </w:tcPr>
          <w:p>
            <w:pPr>
              <w:spacing w:before="0"/>
              <w:jc w:val="center"/>
              <w:rPr>
                <w:rFonts w:cs="Arial"/>
              </w:rPr>
            </w:pPr>
            <w:r>
              <w:rPr>
                <w:rFonts w:cs="Arial"/>
              </w:rPr>
              <w:t>95,97</w:t>
            </w:r>
          </w:p>
        </w:tc>
        <w:tc>
          <w:tcPr>
            <w:tcW w:w="1276" w:type="dxa"/>
            <w:tcBorders>
              <w:top w:val="single" w:sz="4" w:space="0" w:color="auto"/>
              <w:left w:val="nil"/>
              <w:bottom w:val="single" w:sz="4" w:space="0" w:color="auto"/>
              <w:right w:val="single" w:sz="4" w:space="0" w:color="auto"/>
            </w:tcBorders>
            <w:vAlign w:val="center"/>
          </w:tcPr>
          <w:p>
            <w:pPr>
              <w:spacing w:before="0"/>
              <w:jc w:val="center"/>
              <w:rPr>
                <w:rFonts w:cs="Arial"/>
              </w:rPr>
            </w:pPr>
            <w:r>
              <w:rPr>
                <w:rFonts w:cs="Arial"/>
              </w:rPr>
              <w:t>70</w:t>
            </w:r>
          </w:p>
        </w:tc>
      </w:tr>
      <w:tr>
        <w:trPr>
          <w:trHeight w:val="435"/>
          <w:jc w:val="center"/>
        </w:trPr>
        <w:tc>
          <w:tcPr>
            <w:tcW w:w="2825" w:type="dxa"/>
            <w:tcBorders>
              <w:top w:val="single" w:sz="4" w:space="0" w:color="auto"/>
              <w:left w:val="single" w:sz="4" w:space="0" w:color="auto"/>
              <w:bottom w:val="single" w:sz="4" w:space="0" w:color="auto"/>
              <w:right w:val="single" w:sz="4" w:space="0" w:color="auto"/>
            </w:tcBorders>
            <w:noWrap/>
            <w:vAlign w:val="center"/>
            <w:hideMark/>
          </w:tcPr>
          <w:p>
            <w:pPr>
              <w:spacing w:before="0"/>
              <w:jc w:val="center"/>
              <w:rPr>
                <w:rFonts w:cs="Arial"/>
              </w:rPr>
            </w:pPr>
            <w:proofErr w:type="spellStart"/>
            <w:r>
              <w:rPr>
                <w:rFonts w:cs="Arial"/>
              </w:rPr>
              <w:t>Ptot</w:t>
            </w:r>
            <w:proofErr w:type="spellEnd"/>
          </w:p>
        </w:tc>
        <w:tc>
          <w:tcPr>
            <w:tcW w:w="1417" w:type="dxa"/>
            <w:tcBorders>
              <w:top w:val="single" w:sz="4" w:space="0" w:color="auto"/>
              <w:left w:val="nil"/>
              <w:bottom w:val="single" w:sz="4" w:space="0" w:color="auto"/>
              <w:right w:val="single" w:sz="4" w:space="0" w:color="auto"/>
            </w:tcBorders>
            <w:vAlign w:val="center"/>
            <w:hideMark/>
          </w:tcPr>
          <w:p>
            <w:pPr>
              <w:spacing w:before="0"/>
              <w:jc w:val="center"/>
              <w:rPr>
                <w:rFonts w:cs="Arial"/>
              </w:rPr>
            </w:pPr>
            <w:r>
              <w:rPr>
                <w:rFonts w:cs="Arial"/>
              </w:rPr>
              <w:t>0,4</w:t>
            </w:r>
          </w:p>
        </w:tc>
        <w:tc>
          <w:tcPr>
            <w:tcW w:w="1495" w:type="dxa"/>
            <w:tcBorders>
              <w:top w:val="single" w:sz="4" w:space="0" w:color="auto"/>
              <w:left w:val="nil"/>
              <w:bottom w:val="single" w:sz="4" w:space="0" w:color="auto"/>
              <w:right w:val="single" w:sz="4" w:space="0" w:color="auto"/>
            </w:tcBorders>
            <w:vAlign w:val="center"/>
            <w:hideMark/>
          </w:tcPr>
          <w:p>
            <w:pPr>
              <w:spacing w:before="0"/>
              <w:jc w:val="center"/>
              <w:rPr>
                <w:rFonts w:cs="Arial"/>
              </w:rPr>
            </w:pPr>
            <w:r>
              <w:rPr>
                <w:rFonts w:cs="Arial"/>
              </w:rPr>
              <w:t>2</w:t>
            </w:r>
          </w:p>
        </w:tc>
        <w:tc>
          <w:tcPr>
            <w:tcW w:w="1495" w:type="dxa"/>
            <w:tcBorders>
              <w:top w:val="single" w:sz="4" w:space="0" w:color="auto"/>
              <w:left w:val="single" w:sz="4" w:space="0" w:color="auto"/>
              <w:bottom w:val="single" w:sz="4" w:space="0" w:color="auto"/>
              <w:right w:val="single" w:sz="4" w:space="0" w:color="auto"/>
            </w:tcBorders>
            <w:vAlign w:val="center"/>
            <w:hideMark/>
          </w:tcPr>
          <w:p>
            <w:pPr>
              <w:spacing w:before="0"/>
              <w:jc w:val="center"/>
              <w:rPr>
                <w:rFonts w:cs="Arial"/>
              </w:rPr>
            </w:pPr>
            <w:r>
              <w:rPr>
                <w:rFonts w:cs="Arial"/>
              </w:rPr>
              <w:t>0,3</w:t>
            </w:r>
          </w:p>
        </w:tc>
        <w:tc>
          <w:tcPr>
            <w:tcW w:w="1276" w:type="dxa"/>
            <w:tcBorders>
              <w:top w:val="single" w:sz="4" w:space="0" w:color="auto"/>
              <w:left w:val="nil"/>
              <w:bottom w:val="single" w:sz="4" w:space="0" w:color="auto"/>
              <w:right w:val="single" w:sz="4" w:space="0" w:color="auto"/>
            </w:tcBorders>
            <w:vAlign w:val="center"/>
            <w:hideMark/>
          </w:tcPr>
          <w:p>
            <w:pPr>
              <w:spacing w:before="0"/>
              <w:jc w:val="center"/>
              <w:rPr>
                <w:rFonts w:cs="Arial"/>
              </w:rPr>
            </w:pPr>
            <w:r>
              <w:rPr>
                <w:rFonts w:cs="Arial"/>
              </w:rPr>
              <w:t>96,76</w:t>
            </w:r>
          </w:p>
        </w:tc>
        <w:tc>
          <w:tcPr>
            <w:tcW w:w="1276" w:type="dxa"/>
            <w:tcBorders>
              <w:top w:val="single" w:sz="4" w:space="0" w:color="auto"/>
              <w:left w:val="nil"/>
              <w:bottom w:val="single" w:sz="4" w:space="0" w:color="auto"/>
              <w:right w:val="single" w:sz="4" w:space="0" w:color="auto"/>
            </w:tcBorders>
            <w:vAlign w:val="center"/>
          </w:tcPr>
          <w:p>
            <w:pPr>
              <w:spacing w:before="0"/>
              <w:jc w:val="center"/>
              <w:rPr>
                <w:rFonts w:cs="Arial"/>
              </w:rPr>
            </w:pPr>
            <w:r>
              <w:rPr>
                <w:rFonts w:cs="Arial"/>
              </w:rPr>
              <w:t>80</w:t>
            </w:r>
          </w:p>
        </w:tc>
      </w:tr>
    </w:tbl>
    <w:p>
      <w:pPr>
        <w:pStyle w:val="Lgende"/>
      </w:pPr>
      <w:r>
        <w:rPr>
          <w:szCs w:val="20"/>
        </w:rPr>
        <w:t xml:space="preserve"> </w:t>
      </w:r>
    </w:p>
    <w:p>
      <w:pPr>
        <w:pStyle w:val="Titre2"/>
      </w:pPr>
      <w:bookmarkStart w:id="15" w:name="_Toc92353821"/>
      <w:r>
        <w:t>Campagne de mesures</w:t>
      </w:r>
      <w:bookmarkEnd w:id="15"/>
    </w:p>
    <w:p>
      <w:r>
        <w:t>Une campagne de mesures a été réalisée du 15 janvier 2020 au 18 mai 2020. Cette campagne a consisté à étudier :</w:t>
      </w:r>
    </w:p>
    <w:p>
      <w:pPr>
        <w:pStyle w:val="Retrait0Bleu"/>
        <w:outlineLvl w:val="0"/>
      </w:pPr>
      <w:r>
        <w:t>6 points de mesures :</w:t>
      </w:r>
    </w:p>
    <w:p>
      <w:pPr>
        <w:pStyle w:val="Retrait20"/>
        <w:ind w:left="964" w:hanging="284"/>
      </w:pPr>
      <w:r>
        <w:t xml:space="preserve">1 point de mesure au niveau du poste de relevage de </w:t>
      </w:r>
      <w:proofErr w:type="spellStart"/>
      <w:r>
        <w:t>Grand’Terre</w:t>
      </w:r>
      <w:proofErr w:type="spellEnd"/>
      <w:r>
        <w:t xml:space="preserve"> = point de mesure n°1 ;</w:t>
      </w:r>
    </w:p>
    <w:p>
      <w:pPr>
        <w:pStyle w:val="Retrait20"/>
        <w:ind w:left="964" w:hanging="284"/>
      </w:pPr>
      <w:r>
        <w:t>1 point de mesure au niveau du poste de relevage de la Clouterie = point de mesure n°2 ;</w:t>
      </w:r>
    </w:p>
    <w:p>
      <w:pPr>
        <w:pStyle w:val="Retrait20"/>
        <w:ind w:left="964" w:hanging="284"/>
      </w:pPr>
      <w:r>
        <w:t>1 point de mesure au niveau du poste de relevage du Mas de l’Hôpital = point de mesure n°3 ;</w:t>
      </w:r>
    </w:p>
    <w:p>
      <w:pPr>
        <w:pStyle w:val="Retrait20"/>
        <w:ind w:left="964" w:hanging="284"/>
      </w:pPr>
      <w:r>
        <w:t>1 point de mesure au niveau du Village = point de mesure n°4 ;</w:t>
      </w:r>
    </w:p>
    <w:p>
      <w:pPr>
        <w:pStyle w:val="Retrait20"/>
        <w:ind w:left="964" w:hanging="284"/>
      </w:pPr>
      <w:r>
        <w:t>1 point de mesure au niveau de Mitra = point de mesure n°5 ;</w:t>
      </w:r>
    </w:p>
    <w:p>
      <w:pPr>
        <w:pStyle w:val="Retrait20"/>
        <w:ind w:left="964" w:hanging="284"/>
      </w:pPr>
      <w:r>
        <w:lastRenderedPageBreak/>
        <w:t>1 point de mesure au niveau de la station d’épuration (analyse des données d’</w:t>
      </w:r>
      <w:proofErr w:type="spellStart"/>
      <w:r>
        <w:t>autosurveillance</w:t>
      </w:r>
      <w:proofErr w:type="spellEnd"/>
      <w:r>
        <w:t>) = point de mesure n°6</w:t>
      </w:r>
    </w:p>
    <w:p>
      <w:r>
        <w:t>Les points de mesures ont permis de caractériser 6 secteurs (bassins de collecte) :</w:t>
      </w:r>
    </w:p>
    <w:p>
      <w:pPr>
        <w:pStyle w:val="Retrait20"/>
        <w:ind w:left="964" w:hanging="284"/>
      </w:pPr>
      <w:r>
        <w:t xml:space="preserve">Le secteur 1 caractérisé par le point de mesures n°1 : ce secteur concerne l’ensemble des eaux usées arrivant au PR de </w:t>
      </w:r>
      <w:proofErr w:type="spellStart"/>
      <w:r>
        <w:t>Grand’Terre</w:t>
      </w:r>
      <w:proofErr w:type="spellEnd"/>
      <w:r>
        <w:t xml:space="preserve"> ;</w:t>
      </w:r>
    </w:p>
    <w:p>
      <w:pPr>
        <w:pStyle w:val="Retrait20"/>
        <w:ind w:left="964" w:hanging="284"/>
      </w:pPr>
      <w:r>
        <w:t>Le secteur 2 caractérisé par le point de mesures n°2 : ce secteur concerne l’ensemble des eaux usées arrivant au PR de la Clouterie ;</w:t>
      </w:r>
    </w:p>
    <w:p>
      <w:pPr>
        <w:pStyle w:val="Retrait20"/>
        <w:ind w:left="964" w:hanging="284"/>
      </w:pPr>
      <w:r>
        <w:t>Le secteur 3 caractérisé par le point de mesures n°3 : ce secteur concerne l’ensemble des eaux usées arrivant au PR du Mas de l’Hôpital ;</w:t>
      </w:r>
    </w:p>
    <w:p>
      <w:pPr>
        <w:pStyle w:val="Retrait20"/>
        <w:ind w:left="964" w:hanging="284"/>
      </w:pPr>
      <w:r>
        <w:t>Le secteur 4 caractérisé par la différence entre le point de mesure n°4 et les points de mesure 1, 2 et 3 : ce secteur concerne l’ensemble des eaux usées provenant du Village à l’aval des différents postes de refoulement ;</w:t>
      </w:r>
    </w:p>
    <w:p>
      <w:pPr>
        <w:pStyle w:val="Retrait20"/>
        <w:ind w:left="964" w:hanging="284"/>
      </w:pPr>
      <w:r>
        <w:t>Le secteur 5 caractérisé par le point de mesures n°5 : ce secteur concerne l’ensemble des eaux usées provenant du secteur de Mitra ;</w:t>
      </w:r>
    </w:p>
    <w:p>
      <w:pPr>
        <w:pStyle w:val="Retrait20"/>
        <w:ind w:left="964" w:hanging="284"/>
      </w:pPr>
      <w:r>
        <w:t>Le secteur 6 caractérisé par la différence entre le point de mesures n°6 et les points de mesure n°4 et n°5 : ce secteur concerne l’ensemble des eaux usées provenant juste en amont de la station d’épuration.</w:t>
      </w:r>
    </w:p>
    <w:p>
      <w:pPr>
        <w:pStyle w:val="Lgende"/>
        <w:jc w:val="center"/>
        <w:outlineLvl w:val="0"/>
        <w:rPr>
          <w:iCs w:val="0"/>
          <w:szCs w:val="20"/>
        </w:rPr>
      </w:pPr>
      <w:r>
        <w:rPr>
          <w:b/>
          <w:smallCaps/>
          <w:noProof/>
        </w:rPr>
        <w:drawing>
          <wp:anchor distT="0" distB="0" distL="114300" distR="114300" simplePos="0" relativeHeight="251866112" behindDoc="0" locked="0" layoutInCell="1" allowOverlap="1">
            <wp:simplePos x="0" y="0"/>
            <wp:positionH relativeFrom="column">
              <wp:posOffset>4499610</wp:posOffset>
            </wp:positionH>
            <wp:positionV relativeFrom="paragraph">
              <wp:posOffset>5540746</wp:posOffset>
            </wp:positionV>
            <wp:extent cx="1645285" cy="581025"/>
            <wp:effectExtent l="19050" t="19050" r="0" b="9525"/>
            <wp:wrapNone/>
            <wp:docPr id="33"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srcRect/>
                    <a:stretch>
                      <a:fillRect/>
                    </a:stretch>
                  </pic:blipFill>
                  <pic:spPr bwMode="auto">
                    <a:xfrm>
                      <a:off x="0" y="0"/>
                      <a:ext cx="1645285" cy="581025"/>
                    </a:xfrm>
                    <a:prstGeom prst="rect">
                      <a:avLst/>
                    </a:prstGeom>
                    <a:noFill/>
                    <a:ln w="9525">
                      <a:solidFill>
                        <a:schemeClr val="accent1"/>
                      </a:solidFill>
                      <a:miter lim="800000"/>
                      <a:headEnd/>
                      <a:tailEnd/>
                    </a:ln>
                  </pic:spPr>
                </pic:pic>
              </a:graphicData>
            </a:graphic>
          </wp:anchor>
        </w:drawing>
      </w:r>
      <w:r>
        <w:rPr>
          <w:iCs w:val="0"/>
          <w:noProof/>
          <w:szCs w:val="20"/>
        </w:rPr>
        <mc:AlternateContent>
          <mc:Choice Requires="wps">
            <w:drawing>
              <wp:anchor distT="0" distB="0" distL="114300" distR="114300" simplePos="0" relativeHeight="251890688" behindDoc="0" locked="0" layoutInCell="1" allowOverlap="1">
                <wp:simplePos x="0" y="0"/>
                <wp:positionH relativeFrom="column">
                  <wp:posOffset>502285</wp:posOffset>
                </wp:positionH>
                <wp:positionV relativeFrom="paragraph">
                  <wp:posOffset>1299845</wp:posOffset>
                </wp:positionV>
                <wp:extent cx="732155" cy="99695"/>
                <wp:effectExtent l="16510" t="71120" r="32385" b="19685"/>
                <wp:wrapNone/>
                <wp:docPr id="1369" name="Connecteur en angle 13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732155" cy="99695"/>
                        </a:xfrm>
                        <a:prstGeom prst="bentConnector3">
                          <a:avLst>
                            <a:gd name="adj1" fmla="val 49958"/>
                          </a:avLst>
                        </a:prstGeom>
                        <a:noFill/>
                        <a:ln w="28575">
                          <a:solidFill>
                            <a:schemeClr val="bg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eur en angle 1369" o:spid="_x0000_s1026" type="#_x0000_t34" style="position:absolute;margin-left:39.55pt;margin-top:102.35pt;width:57.65pt;height:7.85pt;flip:y;z-index:25189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" adj="10791" strokecolor="white [3212]" strokeweight="2.25pt">
                <v:stroke endarrow="block"/>
              </v:shape>
            </w:pict>
          </mc:Fallback>
        </mc:AlternateContent>
      </w:r>
      <w:r>
        <w:rPr>
          <w:iCs w:val="0"/>
          <w:noProof/>
          <w:szCs w:val="20"/>
        </w:rPr>
        <mc:AlternateContent>
          <mc:Choice Requires="wps">
            <w:drawing>
              <wp:anchor distT="0" distB="0" distL="114300" distR="114300" simplePos="0" relativeHeight="251915264" behindDoc="0" locked="0" layoutInCell="1" allowOverlap="1">
                <wp:simplePos x="0" y="0"/>
                <wp:positionH relativeFrom="column">
                  <wp:posOffset>2912745</wp:posOffset>
                </wp:positionH>
                <wp:positionV relativeFrom="paragraph">
                  <wp:posOffset>601980</wp:posOffset>
                </wp:positionV>
                <wp:extent cx="235585" cy="313055"/>
                <wp:effectExtent l="0" t="0" r="0" b="0"/>
                <wp:wrapNone/>
                <wp:docPr id="127" name="Zone de texte 1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5585" cy="313055"/>
                        </a:xfrm>
                        <a:prstGeom prst="rect">
                          <a:avLst/>
                        </a:prstGeom>
                        <a:solidFill>
                          <a:srgbClr val="FFFFFF">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pPr>
                              <w:rPr>
                                <w:b/>
                              </w:rPr>
                            </w:pPr>
                            <w:r>
                              <w:rPr>
                                <w:b/>
                              </w:rPr>
                              <w:t>3</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Zone de texte 127" o:spid="_x0000_s1026" type="#_x0000_t202" style="position:absolute;left:0;text-align:left;margin-left:229.35pt;margin-top:47.4pt;width:18.55pt;height:24.65pt;z-index:2519152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" stroked="f">
                <v:fill opacity="32896f"/>
                <v:textbox style="mso-fit-shape-to-text:t">
                  <w:txbxContent>
                    <w:p>
                      <w:pPr>
                        <w:rPr>
                          <w:b/>
                        </w:rPr>
                      </w:pPr>
                      <w:r>
                        <w:rPr>
                          <w:b/>
                        </w:rPr>
                        <w:t>3</w:t>
                      </w:r>
                    </w:p>
                  </w:txbxContent>
                </v:textbox>
              </v:shape>
            </w:pict>
          </mc:Fallback>
        </mc:AlternateContent>
      </w:r>
      <w:r>
        <w:rPr>
          <w:iCs w:val="0"/>
          <w:noProof/>
          <w:szCs w:val="20"/>
        </w:rPr>
        <mc:AlternateContent>
          <mc:Choice Requires="wps">
            <w:drawing>
              <wp:anchor distT="0" distB="0" distL="114300" distR="114300" simplePos="0" relativeHeight="251927552" behindDoc="0" locked="0" layoutInCell="1" allowOverlap="1">
                <wp:simplePos x="0" y="0"/>
                <wp:positionH relativeFrom="column">
                  <wp:posOffset>2629535</wp:posOffset>
                </wp:positionH>
                <wp:positionV relativeFrom="paragraph">
                  <wp:posOffset>1015365</wp:posOffset>
                </wp:positionV>
                <wp:extent cx="490220" cy="278130"/>
                <wp:effectExtent l="68580" t="23495" r="15240" b="29210"/>
                <wp:wrapNone/>
                <wp:docPr id="1368" name="Connecteur en angle 13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490220" cy="278130"/>
                        </a:xfrm>
                        <a:prstGeom prst="bentConnector3">
                          <a:avLst>
                            <a:gd name="adj1" fmla="val 50000"/>
                          </a:avLst>
                        </a:prstGeom>
                        <a:noFill/>
                        <a:ln w="28575">
                          <a:solidFill>
                            <a:schemeClr val="bg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en angle 1368" o:spid="_x0000_s1026" type="#_x0000_t34" style="position:absolute;margin-left:207.05pt;margin-top:79.95pt;width:38.6pt;height:21.9pt;rotation:90;z-index:25192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" strokecolor="white [3212]" strokeweight="2.25pt">
                <v:stroke endarrow="block"/>
              </v:shape>
            </w:pict>
          </mc:Fallback>
        </mc:AlternateContent>
      </w:r>
      <w:r>
        <w:rPr>
          <w:iCs w:val="0"/>
          <w:noProof/>
          <w:szCs w:val="20"/>
        </w:rPr>
        <mc:AlternateContent>
          <mc:Choice Requires="wps">
            <w:drawing>
              <wp:anchor distT="0" distB="0" distL="114300" distR="114300" simplePos="0" relativeHeight="251964416" behindDoc="0" locked="0" layoutInCell="1" allowOverlap="1">
                <wp:simplePos x="0" y="0"/>
                <wp:positionH relativeFrom="column">
                  <wp:posOffset>2200275</wp:posOffset>
                </wp:positionH>
                <wp:positionV relativeFrom="paragraph">
                  <wp:posOffset>4455795</wp:posOffset>
                </wp:positionV>
                <wp:extent cx="235585" cy="313055"/>
                <wp:effectExtent l="0" t="0" r="0" b="0"/>
                <wp:wrapNone/>
                <wp:docPr id="125" name="Zone de texte 1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5585" cy="313055"/>
                        </a:xfrm>
                        <a:prstGeom prst="rect">
                          <a:avLst/>
                        </a:prstGeom>
                        <a:solidFill>
                          <a:srgbClr val="FFFFFF">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pPr>
                              <w:rPr>
                                <w:b/>
                              </w:rPr>
                            </w:pPr>
                            <w:r>
                              <w:rPr>
                                <w:b/>
                              </w:rPr>
                              <w:t>5</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Zone de texte 125" o:spid="_x0000_s1027" type="#_x0000_t202" style="position:absolute;left:0;text-align:left;margin-left:173.25pt;margin-top:350.85pt;width:18.55pt;height:24.65pt;z-index:25196441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" stroked="f">
                <v:fill opacity="32896f"/>
                <v:textbox style="mso-fit-shape-to-text:t">
                  <w:txbxContent>
                    <w:p>
                      <w:pPr>
                        <w:rPr>
                          <w:b/>
                        </w:rPr>
                      </w:pPr>
                      <w:r>
                        <w:rPr>
                          <w:b/>
                        </w:rPr>
                        <w:t>5</w:t>
                      </w:r>
                    </w:p>
                  </w:txbxContent>
                </v:textbox>
              </v:shape>
            </w:pict>
          </mc:Fallback>
        </mc:AlternateContent>
      </w:r>
      <w:r>
        <w:rPr>
          <w:iCs w:val="0"/>
          <w:noProof/>
          <w:szCs w:val="20"/>
        </w:rPr>
        <mc:AlternateContent>
          <mc:Choice Requires="wps">
            <w:drawing>
              <wp:anchor distT="0" distB="0" distL="114300" distR="114300" simplePos="0" relativeHeight="251952128" behindDoc="0" locked="0" layoutInCell="1" allowOverlap="1">
                <wp:simplePos x="0" y="0"/>
                <wp:positionH relativeFrom="column">
                  <wp:posOffset>4048760</wp:posOffset>
                </wp:positionH>
                <wp:positionV relativeFrom="paragraph">
                  <wp:posOffset>3287395</wp:posOffset>
                </wp:positionV>
                <wp:extent cx="235585" cy="313055"/>
                <wp:effectExtent l="0" t="0" r="0" b="0"/>
                <wp:wrapNone/>
                <wp:docPr id="124" name="Zone de texte 1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5585" cy="313055"/>
                        </a:xfrm>
                        <a:prstGeom prst="rect">
                          <a:avLst/>
                        </a:prstGeom>
                        <a:solidFill>
                          <a:srgbClr val="FFFFFF">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pPr>
                              <w:rPr>
                                <w:b/>
                              </w:rPr>
                            </w:pPr>
                            <w:r>
                              <w:rPr>
                                <w:b/>
                              </w:rPr>
                              <w:t>6</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Zone de texte 124" o:spid="_x0000_s1028" type="#_x0000_t202" style="position:absolute;left:0;text-align:left;margin-left:318.8pt;margin-top:258.85pt;width:18.55pt;height:24.65pt;z-index:25195212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" stroked="f">
                <v:fill opacity="32896f"/>
                <v:textbox style="mso-fit-shape-to-text:t">
                  <w:txbxContent>
                    <w:p>
                      <w:pPr>
                        <w:rPr>
                          <w:b/>
                        </w:rPr>
                      </w:pPr>
                      <w:r>
                        <w:rPr>
                          <w:b/>
                        </w:rPr>
                        <w:t>6</w:t>
                      </w:r>
                    </w:p>
                  </w:txbxContent>
                </v:textbox>
              </v:shape>
            </w:pict>
          </mc:Fallback>
        </mc:AlternateContent>
      </w:r>
      <w:r>
        <w:rPr>
          <w:iCs w:val="0"/>
          <w:noProof/>
          <w:szCs w:val="20"/>
        </w:rPr>
        <mc:AlternateContent>
          <mc:Choice Requires="wps">
            <w:drawing>
              <wp:anchor distT="0" distB="0" distL="114300" distR="114300" simplePos="0" relativeHeight="251939840" behindDoc="0" locked="0" layoutInCell="1" allowOverlap="1">
                <wp:simplePos x="0" y="0"/>
                <wp:positionH relativeFrom="column">
                  <wp:posOffset>1963420</wp:posOffset>
                </wp:positionH>
                <wp:positionV relativeFrom="paragraph">
                  <wp:posOffset>1927860</wp:posOffset>
                </wp:positionV>
                <wp:extent cx="235585" cy="313055"/>
                <wp:effectExtent l="0" t="0" r="0" b="0"/>
                <wp:wrapNone/>
                <wp:docPr id="123" name="Zone de texte 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5585" cy="313055"/>
                        </a:xfrm>
                        <a:prstGeom prst="rect">
                          <a:avLst/>
                        </a:prstGeom>
                        <a:solidFill>
                          <a:srgbClr val="FFFFFF">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pPr>
                              <w:rPr>
                                <w:b/>
                              </w:rPr>
                            </w:pPr>
                            <w:r>
                              <w:rPr>
                                <w:b/>
                              </w:rPr>
                              <w:t>4</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Zone de texte 123" o:spid="_x0000_s1029" type="#_x0000_t202" style="position:absolute;left:0;text-align:left;margin-left:154.6pt;margin-top:151.8pt;width:18.55pt;height:24.65pt;z-index:25193984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" stroked="f">
                <v:fill opacity="32896f"/>
                <v:textbox style="mso-fit-shape-to-text:t">
                  <w:txbxContent>
                    <w:p>
                      <w:pPr>
                        <w:rPr>
                          <w:b/>
                        </w:rPr>
                      </w:pPr>
                      <w:r>
                        <w:rPr>
                          <w:b/>
                        </w:rPr>
                        <w:t>4</w:t>
                      </w:r>
                    </w:p>
                  </w:txbxContent>
                </v:textbox>
              </v:shape>
            </w:pict>
          </mc:Fallback>
        </mc:AlternateContent>
      </w:r>
      <w:r>
        <w:rPr>
          <w:iCs w:val="0"/>
          <w:noProof/>
          <w:szCs w:val="20"/>
        </w:rPr>
        <mc:AlternateContent>
          <mc:Choice Requires="wps">
            <w:drawing>
              <wp:anchor distT="0" distB="0" distL="114300" distR="114300" simplePos="0" relativeHeight="251902976" behindDoc="0" locked="0" layoutInCell="1" allowOverlap="1">
                <wp:simplePos x="0" y="0"/>
                <wp:positionH relativeFrom="column">
                  <wp:posOffset>989965</wp:posOffset>
                </wp:positionH>
                <wp:positionV relativeFrom="paragraph">
                  <wp:posOffset>508635</wp:posOffset>
                </wp:positionV>
                <wp:extent cx="235585" cy="313055"/>
                <wp:effectExtent l="0" t="0" r="0" b="0"/>
                <wp:wrapNone/>
                <wp:docPr id="122" name="Zone de texte 1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5585" cy="313055"/>
                        </a:xfrm>
                        <a:prstGeom prst="rect">
                          <a:avLst/>
                        </a:prstGeom>
                        <a:solidFill>
                          <a:srgbClr val="FFFFFF">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pPr>
                              <w:rPr>
                                <w:b/>
                              </w:rPr>
                            </w:pPr>
                            <w:r>
                              <w:rPr>
                                <w:b/>
                              </w:rPr>
                              <w:t>2</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Zone de texte 122" o:spid="_x0000_s1030" type="#_x0000_t202" style="position:absolute;left:0;text-align:left;margin-left:77.95pt;margin-top:40.05pt;width:18.55pt;height:24.65pt;z-index:25190297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" stroked="f">
                <v:fill opacity="32896f"/>
                <v:textbox style="mso-fit-shape-to-text:t">
                  <w:txbxContent>
                    <w:p>
                      <w:pPr>
                        <w:rPr>
                          <w:b/>
                        </w:rPr>
                      </w:pPr>
                      <w:r>
                        <w:rPr>
                          <w:b/>
                        </w:rPr>
                        <w:t>2</w:t>
                      </w:r>
                    </w:p>
                  </w:txbxContent>
                </v:textbox>
              </v:shape>
            </w:pict>
          </mc:Fallback>
        </mc:AlternateContent>
      </w:r>
      <w:r>
        <w:rPr>
          <w:iCs w:val="0"/>
          <w:noProof/>
          <w:szCs w:val="20"/>
        </w:rPr>
        <mc:AlternateContent>
          <mc:Choice Requires="wps">
            <w:drawing>
              <wp:anchor distT="0" distB="0" distL="114300" distR="114300" simplePos="0" relativeHeight="251878400" behindDoc="0" locked="0" layoutInCell="1" allowOverlap="1">
                <wp:simplePos x="0" y="0"/>
                <wp:positionH relativeFrom="column">
                  <wp:posOffset>266065</wp:posOffset>
                </wp:positionH>
                <wp:positionV relativeFrom="paragraph">
                  <wp:posOffset>1245235</wp:posOffset>
                </wp:positionV>
                <wp:extent cx="235585" cy="313055"/>
                <wp:effectExtent l="0" t="0" r="0" b="0"/>
                <wp:wrapNone/>
                <wp:docPr id="121" name="Zone de texte 1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5585" cy="313055"/>
                        </a:xfrm>
                        <a:prstGeom prst="rect">
                          <a:avLst/>
                        </a:prstGeom>
                        <a:solidFill>
                          <a:srgbClr val="FFFFFF">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pPr>
                              <w:rPr>
                                <w:b/>
                              </w:rPr>
                            </w:pPr>
                            <w:r>
                              <w:rPr>
                                <w:b/>
                              </w:rPr>
                              <w:t>1</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Zone de texte 121" o:spid="_x0000_s1031" type="#_x0000_t202" style="position:absolute;left:0;text-align:left;margin-left:20.95pt;margin-top:98.05pt;width:18.55pt;height:24.65pt;z-index:25187840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" stroked="f">
                <v:fill opacity="32896f"/>
                <v:textbox style="mso-fit-shape-to-text:t">
                  <w:txbxContent>
                    <w:p>
                      <w:pPr>
                        <w:rPr>
                          <w:b/>
                        </w:rPr>
                      </w:pPr>
                      <w:r>
                        <w:rPr>
                          <w:b/>
                        </w:rPr>
                        <w:t>1</w:t>
                      </w:r>
                    </w:p>
                  </w:txbxContent>
                </v:textbox>
              </v:shape>
            </w:pict>
          </mc:Fallback>
        </mc:AlternateContent>
      </w:r>
      <w:r>
        <w:rPr>
          <w:i w:val="0"/>
          <w:noProof/>
        </w:rPr>
        <w:drawing>
          <wp:inline distT="0" distB="0" distL="0" distR="0">
            <wp:extent cx="6119495" cy="6101051"/>
            <wp:effectExtent l="19050" t="19050" r="14605" b="13999"/>
            <wp:docPr id="1367"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srcRect/>
                    <a:stretch>
                      <a:fillRect/>
                    </a:stretch>
                  </pic:blipFill>
                  <pic:spPr bwMode="auto">
                    <a:xfrm>
                      <a:off x="0" y="0"/>
                      <a:ext cx="6119495" cy="6101051"/>
                    </a:xfrm>
                    <a:prstGeom prst="rect">
                      <a:avLst/>
                    </a:prstGeom>
                    <a:noFill/>
                    <a:ln w="9525">
                      <a:solidFill>
                        <a:schemeClr val="tx1"/>
                      </a:solidFill>
                      <a:miter lim="800000"/>
                      <a:headEnd/>
                      <a:tailEnd/>
                    </a:ln>
                  </pic:spPr>
                </pic:pic>
              </a:graphicData>
            </a:graphic>
          </wp:inline>
        </w:drawing>
      </w:r>
    </w:p>
    <w:p>
      <w:pPr>
        <w:pStyle w:val="Lgende"/>
        <w:jc w:val="left"/>
        <w:outlineLvl w:val="0"/>
        <w:rPr>
          <w:iCs w:val="0"/>
          <w:szCs w:val="20"/>
        </w:rPr>
      </w:pPr>
      <w:bookmarkStart w:id="16" w:name="_Toc24038618"/>
      <w:bookmarkStart w:id="17" w:name="_Toc71553040"/>
      <w:r>
        <w:rPr>
          <w:iCs w:val="0"/>
          <w:szCs w:val="20"/>
        </w:rPr>
        <w:t>Bassins de collecte mise en œuvre durant la campagne de mesures</w:t>
      </w:r>
      <w:bookmarkEnd w:id="16"/>
      <w:bookmarkEnd w:id="17"/>
    </w:p>
    <w:p/>
    <w:p/>
    <w:p>
      <w:pPr>
        <w:pStyle w:val="Titre2"/>
      </w:pPr>
      <w:bookmarkStart w:id="18" w:name="_Toc92353822"/>
      <w:r>
        <w:t>Bilan des eaux parasites sur le système de collecte</w:t>
      </w:r>
      <w:bookmarkEnd w:id="18"/>
    </w:p>
    <w:p>
      <w:pPr>
        <w:pStyle w:val="Titre3"/>
      </w:pPr>
      <w:bookmarkStart w:id="19" w:name="_Toc46480260"/>
      <w:bookmarkStart w:id="20" w:name="_Toc92353823"/>
      <w:r>
        <w:t>Eaux claires parasites permanentes (ECPP)</w:t>
      </w:r>
      <w:bookmarkEnd w:id="19"/>
      <w:bookmarkEnd w:id="20"/>
    </w:p>
    <w:p>
      <w:pPr>
        <w:rPr>
          <w:b/>
          <w:u w:val="single"/>
        </w:rPr>
      </w:pPr>
      <w:r>
        <w:rPr>
          <w:b/>
          <w:u w:val="single"/>
        </w:rPr>
        <w:t>Secteurs sensibles</w:t>
      </w:r>
    </w:p>
    <w:p>
      <w:r>
        <w:t>Les points de mesures sur le réseau permettent de préciser les secteurs sensibles aux entrées d’eaux parasites permanentes. Les volumes d’eaux parasites d’infiltration par temps sec proviennent principalement :</w:t>
      </w:r>
    </w:p>
    <w:p>
      <w:pPr>
        <w:pStyle w:val="Retrait20"/>
        <w:ind w:left="964" w:hanging="284"/>
      </w:pPr>
      <w:r>
        <w:t>Secteur 4 (village) 72% (242m</w:t>
      </w:r>
      <w:r>
        <w:rPr>
          <w:vertAlign w:val="superscript"/>
        </w:rPr>
        <w:t>3</w:t>
      </w:r>
      <w:r>
        <w:t>/j) du volume d’eaux parasites produit sur la commune ;</w:t>
      </w:r>
    </w:p>
    <w:p>
      <w:pPr>
        <w:pStyle w:val="Retrait20"/>
        <w:ind w:left="964" w:hanging="284"/>
      </w:pPr>
      <w:r>
        <w:t>Secteur 2 (Clouterie) 11% (36m</w:t>
      </w:r>
      <w:r>
        <w:rPr>
          <w:vertAlign w:val="superscript"/>
        </w:rPr>
        <w:t>3</w:t>
      </w:r>
      <w:r>
        <w:t>/j) du volume d’eaux parasites produit sur la commune ;</w:t>
      </w:r>
    </w:p>
    <w:p>
      <w:pPr>
        <w:pStyle w:val="Retrait20"/>
        <w:ind w:left="964" w:hanging="284"/>
      </w:pPr>
      <w:r>
        <w:t>Secteur 6 (amont STEU) 8% (26m</w:t>
      </w:r>
      <w:r>
        <w:rPr>
          <w:vertAlign w:val="superscript"/>
        </w:rPr>
        <w:t>3</w:t>
      </w:r>
      <w:r>
        <w:t>/j) du volume d’eaux parasites produit sur la commune ;</w:t>
      </w:r>
    </w:p>
    <w:p>
      <w:pPr>
        <w:pStyle w:val="Retrait20"/>
        <w:ind w:left="964" w:hanging="284"/>
      </w:pPr>
      <w:r>
        <w:t>Secteur 5 (Mitra) 8% (25m</w:t>
      </w:r>
      <w:r>
        <w:rPr>
          <w:vertAlign w:val="superscript"/>
        </w:rPr>
        <w:t>3</w:t>
      </w:r>
      <w:r>
        <w:t>/j) du volume d’eaux parasites produit sur la commune ;</w:t>
      </w:r>
    </w:p>
    <w:p>
      <w:pPr>
        <w:rPr>
          <w:b/>
        </w:rPr>
      </w:pPr>
      <w:r>
        <w:rPr>
          <w:b/>
        </w:rPr>
        <w:t>Le volume d’eaux parasites produit sur la commune est de l’ordre de 334m</w:t>
      </w:r>
      <w:r>
        <w:rPr>
          <w:b/>
          <w:vertAlign w:val="superscript"/>
        </w:rPr>
        <w:t>3</w:t>
      </w:r>
      <w:r>
        <w:rPr>
          <w:b/>
        </w:rPr>
        <w:t>/j soit 38% du volume moyen journalier déterminé sur la charge hydraulique totale annuelle reçue à la station</w:t>
      </w:r>
      <w:r>
        <w:t xml:space="preserve">. </w:t>
      </w:r>
      <w:r>
        <w:rPr>
          <w:b/>
        </w:rPr>
        <w:t>Il s’agit d’un niveau important au regard de l’indice linéaire d’étanchéité global à l’échelle du système de collecte (0,543m</w:t>
      </w:r>
      <w:r>
        <w:rPr>
          <w:b/>
          <w:vertAlign w:val="superscript"/>
        </w:rPr>
        <w:t>3</w:t>
      </w:r>
      <w:r>
        <w:rPr>
          <w:b/>
        </w:rPr>
        <w:t>/h/cm/km, « qualifié de sensible »).</w:t>
      </w:r>
    </w:p>
    <w:p>
      <w:pPr>
        <w:rPr>
          <w:b/>
          <w:u w:val="single"/>
        </w:rPr>
      </w:pPr>
      <w:r>
        <w:rPr>
          <w:b/>
          <w:u w:val="single"/>
        </w:rPr>
        <w:t>Visites nocturnes</w:t>
      </w:r>
    </w:p>
    <w:p>
      <w:r>
        <w:t>Les visites nocturnes du réseau ont été réalisées dans les nuits du 11 au 13 mars 2020, lorsque les rejets d’eaux usées au réseau sont considérés comme négligeables. Les investigations nocturnes ont été réalisées en période de nappe haute.</w:t>
      </w:r>
    </w:p>
    <w:p>
      <w:r>
        <w:t>Des mesures ponctuelles du débit ont été réalisées afin de sectoriser les tronçons de réseau responsables d’entrées d’eaux claires parasites dans le but d’orienter le programme d’inspection télévisée.</w:t>
      </w:r>
    </w:p>
    <w:p>
      <w:pPr>
        <w:rPr>
          <w:i/>
        </w:rPr>
      </w:pPr>
      <w:r>
        <w:t>Les investigations nocturnes ont permis de localiser des secteurs moyennement sensibles à très sensible aux entrées d’eaux parasites d’infiltration :</w:t>
      </w:r>
    </w:p>
    <w:p>
      <w:pPr>
        <w:pStyle w:val="Retrait20"/>
        <w:ind w:left="964" w:hanging="284"/>
      </w:pPr>
      <w:r>
        <w:rPr>
          <w:b/>
          <w:noProof/>
          <w:color w:val="000000" w:themeColor="text1"/>
        </w:rPr>
        <mc:AlternateContent>
          <mc:Choice Requires="wps">
            <w:drawing>
              <wp:anchor distT="0" distB="0" distL="114300" distR="114300" simplePos="0" relativeHeight="251522048" behindDoc="0" locked="0" layoutInCell="1" allowOverlap="1">
                <wp:simplePos x="0" y="0"/>
                <wp:positionH relativeFrom="column">
                  <wp:posOffset>3107690</wp:posOffset>
                </wp:positionH>
                <wp:positionV relativeFrom="paragraph">
                  <wp:posOffset>126365</wp:posOffset>
                </wp:positionV>
                <wp:extent cx="946150" cy="2442845"/>
                <wp:effectExtent l="0" t="0" r="25400" b="14605"/>
                <wp:wrapNone/>
                <wp:docPr id="89" name="Accolade fermante 8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46150" cy="2442845"/>
                        </a:xfrm>
                        <a:prstGeom prst="rightBrace">
                          <a:avLst>
                            <a:gd name="adj1" fmla="val 21516"/>
                            <a:gd name="adj2" fmla="val 50014"/>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ccolade fermante 89" o:spid="_x0000_s1026" type="#_x0000_t88" style="position:absolute;margin-left:244.7pt;margin-top:9.95pt;width:74.5pt;height:192.35pt;z-index:251522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" adj=",10803"/>
            </w:pict>
          </mc:Fallback>
        </mc:AlternateContent>
      </w:r>
      <w:r>
        <w:rPr>
          <w:b/>
        </w:rPr>
        <w:t>Rue Pierre Dumas R942 – R1315 (50ml)</w:t>
      </w:r>
    </w:p>
    <w:p>
      <w:pPr>
        <w:pStyle w:val="Retrait20"/>
        <w:ind w:left="964" w:hanging="284"/>
      </w:pPr>
      <w:r>
        <w:rPr>
          <w:b/>
        </w:rPr>
        <w:t>Rue Pierre Dumas R1170 – R1314 (380ml)</w:t>
      </w:r>
    </w:p>
    <w:p>
      <w:pPr>
        <w:pStyle w:val="Retrait20"/>
        <w:ind w:left="964" w:hanging="284"/>
      </w:pPr>
      <w:r>
        <w:rPr>
          <w:b/>
          <w:color w:val="000000" w:themeColor="text1"/>
        </w:rPr>
        <w:t>Rue Pierre Dumas R1211 – R1174 (150ml)</w:t>
      </w:r>
    </w:p>
    <w:p>
      <w:pPr>
        <w:pStyle w:val="Retrait20"/>
        <w:ind w:left="964" w:hanging="284"/>
      </w:pPr>
      <w:r>
        <w:rPr>
          <w:b/>
        </w:rPr>
        <w:t xml:space="preserve">Rue Edmond </w:t>
      </w:r>
      <w:proofErr w:type="spellStart"/>
      <w:r>
        <w:rPr>
          <w:b/>
        </w:rPr>
        <w:t>Aldosa</w:t>
      </w:r>
      <w:proofErr w:type="spellEnd"/>
      <w:r>
        <w:rPr>
          <w:b/>
        </w:rPr>
        <w:t xml:space="preserve"> (80ml)</w:t>
      </w:r>
    </w:p>
    <w:p>
      <w:pPr>
        <w:pStyle w:val="Retrait20"/>
        <w:ind w:left="964" w:hanging="284"/>
      </w:pPr>
      <w:r>
        <w:rPr>
          <w:b/>
          <w:color w:val="000000" w:themeColor="text1"/>
        </w:rPr>
        <w:t>Rue des Alizés (15ml)</w:t>
      </w:r>
    </w:p>
    <w:p>
      <w:pPr>
        <w:pStyle w:val="Retrait20"/>
        <w:ind w:left="964" w:hanging="284"/>
      </w:pPr>
      <w:r>
        <w:rPr>
          <w:b/>
          <w:noProof/>
        </w:rPr>
        <mc:AlternateContent>
          <mc:Choice Requires="wps">
            <w:drawing>
              <wp:anchor distT="0" distB="0" distL="114300" distR="114300" simplePos="0" relativeHeight="251509760" behindDoc="0" locked="0" layoutInCell="1" allowOverlap="1">
                <wp:simplePos x="0" y="0"/>
                <wp:positionH relativeFrom="column">
                  <wp:posOffset>4116705</wp:posOffset>
                </wp:positionH>
                <wp:positionV relativeFrom="paragraph">
                  <wp:posOffset>158750</wp:posOffset>
                </wp:positionV>
                <wp:extent cx="1649095" cy="535305"/>
                <wp:effectExtent l="0" t="0" r="0" b="0"/>
                <wp:wrapNone/>
                <wp:docPr id="86" name="Zone de texte 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49095" cy="5353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t>9m</w:t>
                            </w:r>
                            <w:r>
                              <w:rPr>
                                <w:vertAlign w:val="superscript"/>
                              </w:rPr>
                              <w:t>3</w:t>
                            </w:r>
                            <w:r>
                              <w:t>/h pour 1 842ml</w:t>
                            </w:r>
                          </w:p>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Zone de texte 86" o:spid="_x0000_s1032" type="#_x0000_t202" style="position:absolute;left:0;text-align:left;margin-left:324.15pt;margin-top:12.5pt;width:129.85pt;height:42.15pt;z-index:25150976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" filled="f" stroked="f">
                <v:textbox style="mso-fit-shape-to-text:t">
                  <w:txbxContent>
                    <w:p>
                      <w:r>
                        <w:t>9m</w:t>
                      </w:r>
                      <w:r>
                        <w:rPr>
                          <w:vertAlign w:val="superscript"/>
                        </w:rPr>
                        <w:t>3</w:t>
                      </w:r>
                      <w:r>
                        <w:t>/h pour 1 842ml</w:t>
                      </w:r>
                    </w:p>
                    <w:p/>
                  </w:txbxContent>
                </v:textbox>
              </v:shape>
            </w:pict>
          </mc:Fallback>
        </mc:AlternateContent>
      </w:r>
      <w:r>
        <w:rPr>
          <w:b/>
          <w:noProof/>
          <w:lang w:eastAsia="en-US"/>
        </w:rPr>
        <w:t>Avenue de la liverté</w:t>
      </w:r>
      <w:r>
        <w:rPr>
          <w:b/>
        </w:rPr>
        <w:t xml:space="preserve"> (95ml)</w:t>
      </w:r>
    </w:p>
    <w:p>
      <w:pPr>
        <w:pStyle w:val="Retrait20"/>
        <w:ind w:left="964" w:hanging="284"/>
      </w:pPr>
      <w:r>
        <w:rPr>
          <w:b/>
          <w:color w:val="000000" w:themeColor="text1"/>
        </w:rPr>
        <w:t>Avenue du champ de Mars (40ml)</w:t>
      </w:r>
    </w:p>
    <w:p>
      <w:pPr>
        <w:pStyle w:val="Retrait20"/>
        <w:ind w:left="964" w:hanging="284"/>
      </w:pPr>
      <w:r>
        <w:rPr>
          <w:b/>
          <w:color w:val="000000" w:themeColor="text1"/>
        </w:rPr>
        <w:t>Rue Fresque et rue de l’Eglise (215ml)</w:t>
      </w:r>
    </w:p>
    <w:p>
      <w:pPr>
        <w:pStyle w:val="Retrait20"/>
        <w:ind w:left="964" w:hanging="284"/>
      </w:pPr>
      <w:r>
        <w:rPr>
          <w:b/>
        </w:rPr>
        <w:t>Impasse des Genêts (60ml)</w:t>
      </w:r>
    </w:p>
    <w:p>
      <w:pPr>
        <w:pStyle w:val="Retrait20"/>
        <w:ind w:left="964" w:hanging="284"/>
      </w:pPr>
      <w:r>
        <w:rPr>
          <w:b/>
          <w:color w:val="000000" w:themeColor="text1"/>
        </w:rPr>
        <w:t xml:space="preserve">Avenue de la Gare (140ml) </w:t>
      </w:r>
    </w:p>
    <w:p>
      <w:pPr>
        <w:pStyle w:val="Retrait20"/>
        <w:ind w:left="964" w:hanging="284"/>
      </w:pPr>
      <w:r>
        <w:rPr>
          <w:b/>
          <w:color w:val="000000" w:themeColor="text1"/>
        </w:rPr>
        <w:t>Rue de Bouillargues (160ml)</w:t>
      </w:r>
    </w:p>
    <w:p>
      <w:pPr>
        <w:pStyle w:val="Retrait20"/>
        <w:ind w:left="964" w:hanging="284"/>
      </w:pPr>
      <w:r>
        <w:rPr>
          <w:b/>
          <w:color w:val="000000" w:themeColor="text1"/>
        </w:rPr>
        <w:t>Rue du Levant (130ml)</w:t>
      </w:r>
    </w:p>
    <w:p>
      <w:pPr>
        <w:pStyle w:val="Retrait20"/>
        <w:ind w:left="964" w:hanging="284"/>
      </w:pPr>
      <w:r>
        <w:rPr>
          <w:b/>
        </w:rPr>
        <w:t>Lotissement les Costières (325ml)</w:t>
      </w:r>
    </w:p>
    <w:p>
      <w:pPr>
        <w:pStyle w:val="Retrait20"/>
        <w:ind w:left="964" w:hanging="284"/>
      </w:pPr>
      <w:r>
        <w:rPr>
          <w:b/>
          <w:noProof/>
        </w:rPr>
        <mc:AlternateContent>
          <mc:Choice Requires="wps">
            <w:drawing>
              <wp:anchor distT="0" distB="0" distL="114300" distR="114300" simplePos="0" relativeHeight="251534336" behindDoc="0" locked="0" layoutInCell="1" allowOverlap="1">
                <wp:simplePos x="0" y="0"/>
                <wp:positionH relativeFrom="column">
                  <wp:posOffset>3107690</wp:posOffset>
                </wp:positionH>
                <wp:positionV relativeFrom="paragraph">
                  <wp:posOffset>53975</wp:posOffset>
                </wp:positionV>
                <wp:extent cx="1009015" cy="985520"/>
                <wp:effectExtent l="0" t="0" r="19685" b="24130"/>
                <wp:wrapNone/>
                <wp:docPr id="85" name="Accolade fermante 8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009015" cy="985520"/>
                        </a:xfrm>
                        <a:prstGeom prst="rightBrace">
                          <a:avLst>
                            <a:gd name="adj1" fmla="val 8333"/>
                            <a:gd name="adj2" fmla="val 50014"/>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ccolade fermante 85" o:spid="_x0000_s1026" type="#_x0000_t88" style="position:absolute;margin-left:244.7pt;margin-top:4.25pt;width:79.45pt;height:77.6pt;z-index:251534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" adj=",10803"/>
            </w:pict>
          </mc:Fallback>
        </mc:AlternateContent>
      </w:r>
      <w:r>
        <w:rPr>
          <w:b/>
          <w:color w:val="FF0000"/>
        </w:rPr>
        <w:t>Route des Bouillargues (130ml)</w:t>
      </w:r>
    </w:p>
    <w:p>
      <w:pPr>
        <w:pStyle w:val="Retrait20"/>
        <w:ind w:left="964" w:hanging="284"/>
      </w:pPr>
      <w:r>
        <w:rPr>
          <w:b/>
          <w:noProof/>
        </w:rPr>
        <mc:AlternateContent>
          <mc:Choice Requires="wps">
            <w:drawing>
              <wp:anchor distT="0" distB="0" distL="114300" distR="114300" simplePos="0" relativeHeight="251546624" behindDoc="0" locked="0" layoutInCell="1" allowOverlap="1">
                <wp:simplePos x="0" y="0"/>
                <wp:positionH relativeFrom="column">
                  <wp:posOffset>4204970</wp:posOffset>
                </wp:positionH>
                <wp:positionV relativeFrom="paragraph">
                  <wp:posOffset>192405</wp:posOffset>
                </wp:positionV>
                <wp:extent cx="1649095" cy="535305"/>
                <wp:effectExtent l="0" t="0" r="0" b="0"/>
                <wp:wrapNone/>
                <wp:docPr id="84" name="Zone de texte 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49095" cy="5353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t>0,9m</w:t>
                            </w:r>
                            <w:r>
                              <w:rPr>
                                <w:vertAlign w:val="superscript"/>
                              </w:rPr>
                              <w:t>3</w:t>
                            </w:r>
                            <w:r>
                              <w:t>/h pour 785ml</w:t>
                            </w:r>
                          </w:p>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Zone de texte 84" o:spid="_x0000_s1033" type="#_x0000_t202" style="position:absolute;left:0;text-align:left;margin-left:331.1pt;margin-top:15.15pt;width:129.85pt;height:42.15pt;z-index:25154662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" filled="f" stroked="f">
                <v:textbox style="mso-fit-shape-to-text:t">
                  <w:txbxContent>
                    <w:p>
                      <w:r>
                        <w:t>0,9m</w:t>
                      </w:r>
                      <w:r>
                        <w:rPr>
                          <w:vertAlign w:val="superscript"/>
                        </w:rPr>
                        <w:t>3</w:t>
                      </w:r>
                      <w:r>
                        <w:t>/h pour 785ml</w:t>
                      </w:r>
                    </w:p>
                    <w:p/>
                  </w:txbxContent>
                </v:textbox>
              </v:shape>
            </w:pict>
          </mc:Fallback>
        </mc:AlternateContent>
      </w:r>
      <w:r>
        <w:rPr>
          <w:b/>
          <w:color w:val="FF0000"/>
        </w:rPr>
        <w:t>Rue des Alizés R1542 – R1659 (105ml)</w:t>
      </w:r>
    </w:p>
    <w:p>
      <w:pPr>
        <w:pStyle w:val="Retrait20"/>
        <w:ind w:left="964" w:hanging="284"/>
      </w:pPr>
      <w:r>
        <w:rPr>
          <w:b/>
          <w:color w:val="FF0000"/>
        </w:rPr>
        <w:t xml:space="preserve">Rue de la </w:t>
      </w:r>
      <w:proofErr w:type="spellStart"/>
      <w:r>
        <w:rPr>
          <w:b/>
          <w:color w:val="FF0000"/>
        </w:rPr>
        <w:t>Farelle</w:t>
      </w:r>
      <w:proofErr w:type="spellEnd"/>
      <w:r>
        <w:rPr>
          <w:b/>
          <w:color w:val="FF0000"/>
        </w:rPr>
        <w:t xml:space="preserve"> (125ml)</w:t>
      </w:r>
    </w:p>
    <w:p>
      <w:pPr>
        <w:pStyle w:val="Retrait20"/>
        <w:ind w:left="964" w:hanging="284"/>
      </w:pPr>
      <w:r>
        <w:rPr>
          <w:b/>
          <w:color w:val="FF0000"/>
        </w:rPr>
        <w:t>Avenue du champ de Mars (120ml)</w:t>
      </w:r>
    </w:p>
    <w:p>
      <w:pPr>
        <w:pStyle w:val="Retrait20"/>
        <w:ind w:left="964" w:hanging="284"/>
      </w:pPr>
      <w:r>
        <w:rPr>
          <w:b/>
          <w:color w:val="FF0000"/>
        </w:rPr>
        <w:t>Rue de Diane – Rue des Centaures (305ml)</w:t>
      </w:r>
    </w:p>
    <w:p>
      <w:pPr>
        <w:pStyle w:val="Retrait20"/>
        <w:ind w:left="964" w:hanging="284"/>
      </w:pPr>
      <w:r>
        <w:rPr>
          <w:b/>
          <w:noProof/>
          <w:color w:val="FFC000"/>
        </w:rPr>
        <mc:AlternateContent>
          <mc:Choice Requires="wps">
            <w:drawing>
              <wp:anchor distT="0" distB="0" distL="114300" distR="114300" simplePos="0" relativeHeight="251558912" behindDoc="0" locked="0" layoutInCell="1" allowOverlap="1">
                <wp:simplePos x="0" y="0"/>
                <wp:positionH relativeFrom="column">
                  <wp:posOffset>3107690</wp:posOffset>
                </wp:positionH>
                <wp:positionV relativeFrom="paragraph">
                  <wp:posOffset>72390</wp:posOffset>
                </wp:positionV>
                <wp:extent cx="946150" cy="2237740"/>
                <wp:effectExtent l="0" t="0" r="25400" b="10160"/>
                <wp:wrapNone/>
                <wp:docPr id="81" name="Accolade fermante 8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46150" cy="2237740"/>
                        </a:xfrm>
                        <a:prstGeom prst="rightBrace">
                          <a:avLst>
                            <a:gd name="adj1" fmla="val 19709"/>
                            <a:gd name="adj2" fmla="val 50014"/>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ccolade fermante 81" o:spid="_x0000_s1026" type="#_x0000_t88" style="position:absolute;margin-left:244.7pt;margin-top:5.7pt;width:74.5pt;height:176.2pt;z-index:251558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" adj=",10803"/>
            </w:pict>
          </mc:Fallback>
        </mc:AlternateContent>
      </w:r>
      <w:r>
        <w:rPr>
          <w:b/>
          <w:color w:val="FFC000"/>
        </w:rPr>
        <w:t xml:space="preserve">Rue Edmond </w:t>
      </w:r>
      <w:proofErr w:type="spellStart"/>
      <w:r>
        <w:rPr>
          <w:b/>
          <w:color w:val="FFC000"/>
        </w:rPr>
        <w:t>Aldosa</w:t>
      </w:r>
      <w:proofErr w:type="spellEnd"/>
      <w:r>
        <w:rPr>
          <w:b/>
          <w:color w:val="FFC000"/>
        </w:rPr>
        <w:t xml:space="preserve"> (110ml)</w:t>
      </w:r>
    </w:p>
    <w:p>
      <w:pPr>
        <w:pStyle w:val="Retrait20"/>
        <w:ind w:left="964" w:hanging="284"/>
      </w:pPr>
      <w:r>
        <w:rPr>
          <w:b/>
          <w:color w:val="FFC000"/>
        </w:rPr>
        <w:t xml:space="preserve">Carrière dis </w:t>
      </w:r>
      <w:proofErr w:type="spellStart"/>
      <w:r>
        <w:rPr>
          <w:b/>
          <w:color w:val="FFC000"/>
        </w:rPr>
        <w:t>Amourous</w:t>
      </w:r>
      <w:proofErr w:type="spellEnd"/>
      <w:r>
        <w:rPr>
          <w:b/>
          <w:color w:val="FFC000"/>
        </w:rPr>
        <w:t xml:space="preserve"> (350ml)</w:t>
      </w:r>
    </w:p>
    <w:p>
      <w:pPr>
        <w:pStyle w:val="Retrait20"/>
        <w:ind w:left="964" w:hanging="284"/>
      </w:pPr>
      <w:r>
        <w:rPr>
          <w:b/>
          <w:color w:val="FFC000"/>
        </w:rPr>
        <w:t>Rue d’Alençon (75ml)</w:t>
      </w:r>
    </w:p>
    <w:p>
      <w:pPr>
        <w:pStyle w:val="Retrait20"/>
        <w:ind w:left="964" w:hanging="284"/>
      </w:pPr>
      <w:r>
        <w:rPr>
          <w:b/>
          <w:color w:val="FFC000"/>
        </w:rPr>
        <w:t>Rue Xavier Tronc (115ml)</w:t>
      </w:r>
    </w:p>
    <w:p>
      <w:pPr>
        <w:pStyle w:val="Retrait20"/>
        <w:ind w:left="964" w:hanging="284"/>
      </w:pPr>
      <w:r>
        <w:rPr>
          <w:b/>
          <w:noProof/>
          <w:color w:val="FFC000"/>
        </w:rPr>
        <mc:AlternateContent>
          <mc:Choice Requires="wps">
            <w:drawing>
              <wp:anchor distT="0" distB="0" distL="114300" distR="114300" simplePos="0" relativeHeight="251571200" behindDoc="0" locked="0" layoutInCell="1" allowOverlap="1">
                <wp:simplePos x="0" y="0"/>
                <wp:positionH relativeFrom="column">
                  <wp:posOffset>4204970</wp:posOffset>
                </wp:positionH>
                <wp:positionV relativeFrom="paragraph">
                  <wp:posOffset>180975</wp:posOffset>
                </wp:positionV>
                <wp:extent cx="1649095" cy="535305"/>
                <wp:effectExtent l="0" t="0" r="0" b="0"/>
                <wp:wrapNone/>
                <wp:docPr id="79" name="Zone de texte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49095" cy="5353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
                              <w:t>2,6m</w:t>
                            </w:r>
                            <w:r>
                              <w:rPr>
                                <w:vertAlign w:val="superscript"/>
                              </w:rPr>
                              <w:t>3</w:t>
                            </w:r>
                            <w:r>
                              <w:t>/h pour 3 030ml</w:t>
                            </w:r>
                          </w:p>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Zone de texte 79" o:spid="_x0000_s1034" type="#_x0000_t202" style="position:absolute;left:0;text-align:left;margin-left:331.1pt;margin-top:14.25pt;width:129.85pt;height:42.15pt;z-index:25157120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" filled="f" stroked="f">
                <v:textbox style="mso-fit-shape-to-text:t">
                  <w:txbxContent>
                    <w:p>
                      <w:r>
                        <w:t>2,6m</w:t>
                      </w:r>
                      <w:r>
                        <w:rPr>
                          <w:vertAlign w:val="superscript"/>
                        </w:rPr>
                        <w:t>3</w:t>
                      </w:r>
                      <w:r>
                        <w:t>/h pour 3 030ml</w:t>
                      </w:r>
                    </w:p>
                    <w:p/>
                  </w:txbxContent>
                </v:textbox>
              </v:shape>
            </w:pict>
          </mc:Fallback>
        </mc:AlternateContent>
      </w:r>
      <w:r>
        <w:rPr>
          <w:b/>
          <w:color w:val="FFC000"/>
        </w:rPr>
        <w:t xml:space="preserve">Rue </w:t>
      </w:r>
      <w:proofErr w:type="spellStart"/>
      <w:r>
        <w:rPr>
          <w:b/>
          <w:color w:val="FFC000"/>
        </w:rPr>
        <w:t>Marmet</w:t>
      </w:r>
      <w:proofErr w:type="spellEnd"/>
      <w:r>
        <w:rPr>
          <w:b/>
          <w:color w:val="FFC000"/>
        </w:rPr>
        <w:t xml:space="preserve"> (120ml)</w:t>
      </w:r>
    </w:p>
    <w:p>
      <w:pPr>
        <w:pStyle w:val="Retrait20"/>
        <w:ind w:left="964" w:hanging="284"/>
      </w:pPr>
      <w:r>
        <w:rPr>
          <w:b/>
          <w:color w:val="FFC000"/>
        </w:rPr>
        <w:t>Rue Guillaume Apollinaire (135ml)</w:t>
      </w:r>
    </w:p>
    <w:p>
      <w:pPr>
        <w:pStyle w:val="Retrait20"/>
        <w:ind w:left="964" w:hanging="284"/>
      </w:pPr>
      <w:r>
        <w:rPr>
          <w:b/>
          <w:color w:val="FFC000"/>
        </w:rPr>
        <w:t>Rue des Perdrix (180ml)</w:t>
      </w:r>
    </w:p>
    <w:p>
      <w:pPr>
        <w:pStyle w:val="Retrait20"/>
        <w:ind w:left="964" w:hanging="284"/>
      </w:pPr>
      <w:r>
        <w:rPr>
          <w:b/>
          <w:color w:val="FFC000"/>
        </w:rPr>
        <w:lastRenderedPageBreak/>
        <w:t>Rue des Alizés R832 – R1542 (95ml)</w:t>
      </w:r>
    </w:p>
    <w:p>
      <w:pPr>
        <w:pStyle w:val="Retrait20"/>
        <w:ind w:left="964" w:hanging="284"/>
      </w:pPr>
      <w:r>
        <w:rPr>
          <w:b/>
          <w:color w:val="FFC000"/>
        </w:rPr>
        <w:t>Avenue du champ de Mars (R1249 – R1250)</w:t>
      </w:r>
    </w:p>
    <w:p>
      <w:pPr>
        <w:pStyle w:val="Retrait20"/>
        <w:ind w:left="964" w:hanging="284"/>
      </w:pPr>
      <w:r>
        <w:rPr>
          <w:b/>
          <w:color w:val="FFC000"/>
        </w:rPr>
        <w:t>R1126 à R1236 (1635ml)</w:t>
      </w:r>
    </w:p>
    <w:p>
      <w:pPr>
        <w:pStyle w:val="Retrait20"/>
        <w:ind w:left="964" w:hanging="284"/>
      </w:pPr>
      <w:r>
        <w:rPr>
          <w:b/>
          <w:color w:val="FFC000"/>
        </w:rPr>
        <w:t>Sud Est de la rue de la Vieille Vigne (165ml)</w:t>
      </w:r>
    </w:p>
    <w:p>
      <w:r>
        <w:t>Les nuits d’inspection nocturne sur ces 29 tronçons (5 657ml) représentent un débit d’eaux parasites d’infiltration d’environ 12,6m</w:t>
      </w:r>
      <w:r>
        <w:rPr>
          <w:vertAlign w:val="superscript"/>
        </w:rPr>
        <w:t>3</w:t>
      </w:r>
      <w:r>
        <w:t>/h soit 300m</w:t>
      </w:r>
      <w:r>
        <w:rPr>
          <w:vertAlign w:val="superscript"/>
        </w:rPr>
        <w:t>3</w:t>
      </w:r>
      <w:r>
        <w:t>/j. Sur le reste du réseau les entrées d’eaux parasites d’infiltration sont très diffuses ou absentes sur de nombreux secteurs.</w:t>
      </w:r>
    </w:p>
    <w:p>
      <w:pPr>
        <w:pStyle w:val="Titre3"/>
      </w:pPr>
      <w:bookmarkStart w:id="21" w:name="_Toc46480261"/>
      <w:bookmarkStart w:id="22" w:name="_Toc92353824"/>
      <w:r>
        <w:t>Eaux claires parasites météoriques (ECPM)</w:t>
      </w:r>
      <w:bookmarkEnd w:id="21"/>
      <w:bookmarkEnd w:id="22"/>
    </w:p>
    <w:p>
      <w:pPr>
        <w:rPr>
          <w:b/>
          <w:u w:val="single"/>
        </w:rPr>
      </w:pPr>
      <w:r>
        <w:rPr>
          <w:b/>
          <w:u w:val="single"/>
        </w:rPr>
        <w:t>Secteurs sensibles</w:t>
      </w:r>
    </w:p>
    <w:p>
      <w:r>
        <w:t>Les points de mesures sur le réseau permettent de préciser les secteurs sensibles aux entrées d’eaux parasites météoriques. Sur la moyenne des pluies, les résultats obtenus mettent en évidence une surface active d’environ 21 500m² sur l’ensemble de la commune. Les surfaces actives raccordées au réseau d’eaux usées proviennent principalement des bassins de collecte suivants:</w:t>
      </w:r>
    </w:p>
    <w:p>
      <w:pPr>
        <w:pStyle w:val="Retrait20"/>
        <w:tabs>
          <w:tab w:val="clear" w:pos="928"/>
          <w:tab w:val="num" w:pos="1324"/>
        </w:tabs>
        <w:ind w:left="1304"/>
      </w:pPr>
      <w:r>
        <w:t>Secteur 4 (Village) : 73%</w:t>
      </w:r>
    </w:p>
    <w:p>
      <w:pPr>
        <w:pStyle w:val="Retrait20"/>
        <w:tabs>
          <w:tab w:val="clear" w:pos="928"/>
          <w:tab w:val="num" w:pos="1324"/>
        </w:tabs>
        <w:ind w:left="1304"/>
      </w:pPr>
      <w:r>
        <w:t>Secteur 5 (Mitra) : 9%</w:t>
      </w:r>
    </w:p>
    <w:p>
      <w:pPr>
        <w:pStyle w:val="Retrait20"/>
        <w:tabs>
          <w:tab w:val="clear" w:pos="928"/>
          <w:tab w:val="num" w:pos="1324"/>
        </w:tabs>
        <w:ind w:left="1304"/>
      </w:pPr>
      <w:r>
        <w:t>Secteur 2 (Clouterie) : 8%</w:t>
      </w:r>
    </w:p>
    <w:p>
      <w:pPr>
        <w:pStyle w:val="Retrait20"/>
        <w:tabs>
          <w:tab w:val="clear" w:pos="928"/>
          <w:tab w:val="num" w:pos="1324"/>
        </w:tabs>
        <w:ind w:left="1304"/>
      </w:pPr>
      <w:r>
        <w:t>Secteur 6 (Amont STEU) : 7%</w:t>
      </w:r>
    </w:p>
    <w:p>
      <w:pPr>
        <w:rPr>
          <w:b/>
          <w:u w:val="single"/>
        </w:rPr>
      </w:pPr>
      <w:r>
        <w:rPr>
          <w:b/>
          <w:u w:val="single"/>
        </w:rPr>
        <w:t>Visites sous averse</w:t>
      </w:r>
    </w:p>
    <w:p>
      <w:r>
        <w:t>Les visites sous averse du réseau ont été réalisées le 11 mai 2020. La pluviométrie enregistrée ce jour était de 11,7mm et 20,3mm le jour d’avant. Des mesures ponctuelles du débit ont été réalisées afin de sectoriser les tronçons de réseau responsables d’entrées d’eaux claires parasites et d’identifier ainsi les secteurs sensibles aux entrées d’eaux météoriques.</w:t>
      </w:r>
    </w:p>
    <w:p>
      <w:r>
        <w:t>Les investigations sous averse ont permis de repérer 31 tronçons potentiellement très sensibles aux entrées d’eaux parasites de captage (6 957ml). Sur le reste du réseau les entrées d’eaux parasites de captage sont très diffuses et absentes sur de nombreux secteurs. Les tronçons sensibles aux entrées d’eaux claires météoriques sont situés principalement au Centre-Nord du village et au niveau de Clouterie. La comparaison des investigations nocturnes et des investigations sous averse montre pour certains secteurs une corrélation. Pour ces secteurs, l’augmentation des débits par temps de pluie peut provenir d’infiltration directe dans les canalisations à travers des problèmes d’étanchéité.</w:t>
      </w:r>
    </w:p>
    <w:p>
      <w:pPr>
        <w:rPr>
          <w:b/>
          <w:u w:val="single"/>
        </w:rPr>
      </w:pPr>
      <w:r>
        <w:rPr>
          <w:b/>
          <w:u w:val="single"/>
        </w:rPr>
        <w:t>Test à la fumée</w:t>
      </w:r>
    </w:p>
    <w:p>
      <w:r>
        <w:rPr>
          <w:rStyle w:val="lev"/>
          <w:b w:val="0"/>
        </w:rPr>
        <w:t xml:space="preserve">La totalité du linéaire de la commune a été inspecté via les tests à la fumée. </w:t>
      </w:r>
      <w:r>
        <w:t>Le tableau suivant résume, les anomalies en fonction de leur origine, de leur type et de leur surface drainée. Pour certaines anomalies, les surfaces actives n’ont pas été déterminées au vu des difficultés d’évaluation.</w:t>
      </w:r>
    </w:p>
    <w:p/>
    <w:tbl>
      <w:tblPr>
        <w:tblW w:w="9654" w:type="dxa"/>
        <w:tblInd w:w="55" w:type="dxa"/>
        <w:tblLayout w:type="fixed"/>
        <w:tblCellMar>
          <w:left w:w="70" w:type="dxa"/>
          <w:right w:w="70" w:type="dxa"/>
        </w:tblCellMar>
        <w:tblLook w:val="04A0" w:firstRow="1" w:lastRow="0" w:firstColumn="1" w:lastColumn="0" w:noHBand="0" w:noVBand="1"/>
      </w:tblPr>
      <w:tblGrid>
        <w:gridCol w:w="1090"/>
        <w:gridCol w:w="1193"/>
        <w:gridCol w:w="1843"/>
        <w:gridCol w:w="567"/>
        <w:gridCol w:w="851"/>
        <w:gridCol w:w="850"/>
        <w:gridCol w:w="843"/>
        <w:gridCol w:w="1142"/>
        <w:gridCol w:w="1275"/>
      </w:tblGrid>
      <w:tr>
        <w:trPr>
          <w:trHeight w:val="750"/>
        </w:trPr>
        <w:tc>
          <w:tcPr>
            <w:tcW w:w="1090" w:type="dxa"/>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pPr>
              <w:spacing w:before="0"/>
              <w:jc w:val="center"/>
              <w:rPr>
                <w:rFonts w:cs="Calibri"/>
                <w:b/>
                <w:color w:val="000000"/>
              </w:rPr>
            </w:pPr>
            <w:r>
              <w:rPr>
                <w:rFonts w:cs="Calibri"/>
                <w:b/>
                <w:color w:val="000000"/>
              </w:rPr>
              <w:t>Commune</w:t>
            </w:r>
          </w:p>
        </w:tc>
        <w:tc>
          <w:tcPr>
            <w:tcW w:w="1193" w:type="dxa"/>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pPr>
              <w:spacing w:before="0"/>
              <w:jc w:val="center"/>
              <w:rPr>
                <w:rFonts w:cs="Calibri"/>
                <w:b/>
                <w:color w:val="000000"/>
              </w:rPr>
            </w:pPr>
            <w:r>
              <w:rPr>
                <w:rFonts w:cs="Calibri"/>
                <w:b/>
                <w:color w:val="000000"/>
                <w:szCs w:val="22"/>
              </w:rPr>
              <w:t>Secteur</w:t>
            </w:r>
          </w:p>
        </w:tc>
        <w:tc>
          <w:tcPr>
            <w:tcW w:w="1843" w:type="dxa"/>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pPr>
              <w:spacing w:before="0"/>
              <w:jc w:val="center"/>
              <w:rPr>
                <w:rFonts w:cs="Calibri"/>
                <w:b/>
                <w:color w:val="000000"/>
              </w:rPr>
            </w:pPr>
            <w:r>
              <w:rPr>
                <w:rFonts w:cs="Calibri"/>
                <w:b/>
                <w:color w:val="000000"/>
                <w:szCs w:val="22"/>
              </w:rPr>
              <w:t>Anomalie</w:t>
            </w:r>
          </w:p>
        </w:tc>
        <w:tc>
          <w:tcPr>
            <w:tcW w:w="2268" w:type="dxa"/>
            <w:gridSpan w:val="3"/>
            <w:tcBorders>
              <w:top w:val="single" w:sz="4" w:space="0" w:color="auto"/>
              <w:left w:val="nil"/>
              <w:bottom w:val="single" w:sz="4" w:space="0" w:color="auto"/>
              <w:right w:val="single" w:sz="4" w:space="0" w:color="auto"/>
            </w:tcBorders>
            <w:shd w:val="clear" w:color="auto" w:fill="DBE5F1" w:themeFill="accent1" w:themeFillTint="33"/>
            <w:vAlign w:val="center"/>
            <w:hideMark/>
          </w:tcPr>
          <w:p>
            <w:pPr>
              <w:spacing w:before="0"/>
              <w:jc w:val="center"/>
              <w:rPr>
                <w:rFonts w:cs="Calibri"/>
                <w:b/>
                <w:color w:val="000000"/>
              </w:rPr>
            </w:pPr>
            <w:r>
              <w:rPr>
                <w:rFonts w:cs="Calibri"/>
                <w:b/>
                <w:color w:val="000000"/>
                <w:szCs w:val="22"/>
              </w:rPr>
              <w:t>Nombre d'anomalies</w:t>
            </w:r>
          </w:p>
        </w:tc>
        <w:tc>
          <w:tcPr>
            <w:tcW w:w="843" w:type="dxa"/>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pPr>
              <w:spacing w:before="0"/>
              <w:jc w:val="center"/>
              <w:rPr>
                <w:rFonts w:cs="Calibri"/>
                <w:b/>
                <w:color w:val="000000"/>
              </w:rPr>
            </w:pPr>
            <w:r>
              <w:rPr>
                <w:rFonts w:cs="Calibri"/>
                <w:b/>
                <w:color w:val="000000"/>
                <w:szCs w:val="22"/>
              </w:rPr>
              <w:t>Surface active (m</w:t>
            </w:r>
            <w:r>
              <w:rPr>
                <w:rFonts w:cs="Calibri"/>
                <w:b/>
                <w:color w:val="000000"/>
                <w:vertAlign w:val="superscript"/>
              </w:rPr>
              <w:t>2</w:t>
            </w:r>
            <w:r>
              <w:rPr>
                <w:rFonts w:cs="Calibri"/>
                <w:b/>
                <w:color w:val="000000"/>
              </w:rPr>
              <w:t>)</w:t>
            </w:r>
          </w:p>
        </w:tc>
        <w:tc>
          <w:tcPr>
            <w:tcW w:w="1142" w:type="dxa"/>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pPr>
              <w:spacing w:before="0"/>
              <w:jc w:val="center"/>
              <w:rPr>
                <w:rFonts w:cs="Calibri"/>
                <w:b/>
                <w:color w:val="000000"/>
              </w:rPr>
            </w:pPr>
            <w:r>
              <w:rPr>
                <w:rFonts w:cs="Calibri"/>
                <w:b/>
                <w:color w:val="000000"/>
                <w:szCs w:val="22"/>
              </w:rPr>
              <w:t>Surface active identifiée par secteur (m</w:t>
            </w:r>
            <w:r>
              <w:rPr>
                <w:rFonts w:cs="Calibri"/>
                <w:b/>
                <w:color w:val="000000"/>
                <w:vertAlign w:val="superscript"/>
              </w:rPr>
              <w:t>2</w:t>
            </w:r>
            <w:r>
              <w:rPr>
                <w:rFonts w:cs="Calibri"/>
                <w:b/>
                <w:color w:val="000000"/>
              </w:rPr>
              <w:t>)</w:t>
            </w:r>
          </w:p>
        </w:tc>
        <w:tc>
          <w:tcPr>
            <w:tcW w:w="1275" w:type="dxa"/>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pPr>
              <w:spacing w:before="0"/>
              <w:jc w:val="center"/>
              <w:rPr>
                <w:rFonts w:cs="Calibri"/>
                <w:b/>
                <w:color w:val="000000"/>
              </w:rPr>
            </w:pPr>
            <w:r>
              <w:rPr>
                <w:rFonts w:cs="Calibri"/>
                <w:b/>
                <w:color w:val="000000"/>
                <w:szCs w:val="22"/>
              </w:rPr>
              <w:t>Surface active calculée lors de la campagne de mesure (m</w:t>
            </w:r>
            <w:r>
              <w:rPr>
                <w:rFonts w:cs="Calibri"/>
                <w:b/>
                <w:color w:val="000000"/>
                <w:vertAlign w:val="superscript"/>
              </w:rPr>
              <w:t>2</w:t>
            </w:r>
            <w:r>
              <w:rPr>
                <w:rFonts w:cs="Calibri"/>
                <w:b/>
                <w:color w:val="000000"/>
              </w:rPr>
              <w:t>)</w:t>
            </w:r>
          </w:p>
        </w:tc>
      </w:tr>
      <w:tr>
        <w:trPr>
          <w:trHeight w:val="300"/>
        </w:trPr>
        <w:tc>
          <w:tcPr>
            <w:tcW w:w="1090" w:type="dxa"/>
            <w:vMerge/>
            <w:tcBorders>
              <w:left w:val="single" w:sz="4" w:space="0" w:color="auto"/>
              <w:bottom w:val="single" w:sz="4" w:space="0" w:color="auto"/>
              <w:right w:val="single" w:sz="4" w:space="0" w:color="auto"/>
            </w:tcBorders>
            <w:shd w:val="clear" w:color="auto" w:fill="DBE5F1" w:themeFill="accent1" w:themeFillTint="33"/>
            <w:vAlign w:val="center"/>
            <w:hideMark/>
          </w:tcPr>
          <w:p>
            <w:pPr>
              <w:spacing w:before="0"/>
              <w:jc w:val="center"/>
              <w:rPr>
                <w:rFonts w:cs="Calibri"/>
                <w:color w:val="000000"/>
              </w:rPr>
            </w:pPr>
          </w:p>
        </w:tc>
        <w:tc>
          <w:tcPr>
            <w:tcW w:w="1193" w:type="dxa"/>
            <w:vMerge/>
            <w:tcBorders>
              <w:top w:val="single" w:sz="4" w:space="0" w:color="auto"/>
              <w:left w:val="single" w:sz="4" w:space="0" w:color="auto"/>
              <w:bottom w:val="single" w:sz="4" w:space="0" w:color="auto"/>
              <w:right w:val="single" w:sz="4" w:space="0" w:color="auto"/>
            </w:tcBorders>
            <w:vAlign w:val="center"/>
            <w:hideMark/>
          </w:tcPr>
          <w:p>
            <w:pPr>
              <w:spacing w:before="0"/>
              <w:jc w:val="center"/>
              <w:rPr>
                <w:rFonts w:cs="Calibri"/>
                <w:color w:val="000000"/>
              </w:rPr>
            </w:pPr>
          </w:p>
        </w:tc>
        <w:tc>
          <w:tcPr>
            <w:tcW w:w="1843" w:type="dxa"/>
            <w:vMerge/>
            <w:tcBorders>
              <w:top w:val="single" w:sz="4" w:space="0" w:color="auto"/>
              <w:left w:val="single" w:sz="4" w:space="0" w:color="auto"/>
              <w:bottom w:val="single" w:sz="4" w:space="0" w:color="auto"/>
              <w:right w:val="single" w:sz="4" w:space="0" w:color="auto"/>
            </w:tcBorders>
            <w:vAlign w:val="center"/>
            <w:hideMark/>
          </w:tcPr>
          <w:p>
            <w:pPr>
              <w:spacing w:before="0"/>
              <w:jc w:val="center"/>
              <w:rPr>
                <w:rFonts w:cs="Calibri"/>
                <w:color w:val="000000"/>
              </w:rPr>
            </w:pPr>
          </w:p>
        </w:tc>
        <w:tc>
          <w:tcPr>
            <w:tcW w:w="567" w:type="dxa"/>
            <w:tcBorders>
              <w:top w:val="single" w:sz="4" w:space="0" w:color="auto"/>
              <w:left w:val="nil"/>
              <w:bottom w:val="single" w:sz="4" w:space="0" w:color="auto"/>
              <w:right w:val="single" w:sz="4" w:space="0" w:color="auto"/>
            </w:tcBorders>
            <w:shd w:val="clear" w:color="auto" w:fill="DBE5F1" w:themeFill="accent1" w:themeFillTint="33"/>
            <w:vAlign w:val="center"/>
            <w:hideMark/>
          </w:tcPr>
          <w:p>
            <w:pPr>
              <w:spacing w:before="0"/>
              <w:jc w:val="center"/>
              <w:rPr>
                <w:rFonts w:cs="Calibri"/>
                <w:b/>
                <w:color w:val="000000"/>
              </w:rPr>
            </w:pPr>
            <w:r>
              <w:rPr>
                <w:rFonts w:cs="Calibri"/>
                <w:b/>
                <w:color w:val="000000"/>
                <w:szCs w:val="22"/>
              </w:rPr>
              <w:t>Total</w:t>
            </w:r>
          </w:p>
        </w:tc>
        <w:tc>
          <w:tcPr>
            <w:tcW w:w="851" w:type="dxa"/>
            <w:tcBorders>
              <w:top w:val="single" w:sz="4" w:space="0" w:color="auto"/>
              <w:left w:val="nil"/>
              <w:bottom w:val="single" w:sz="4" w:space="0" w:color="auto"/>
              <w:right w:val="single" w:sz="4" w:space="0" w:color="auto"/>
            </w:tcBorders>
            <w:shd w:val="clear" w:color="auto" w:fill="DBE5F1" w:themeFill="accent1" w:themeFillTint="33"/>
            <w:vAlign w:val="center"/>
            <w:hideMark/>
          </w:tcPr>
          <w:p>
            <w:pPr>
              <w:spacing w:before="0"/>
              <w:jc w:val="center"/>
              <w:rPr>
                <w:rFonts w:cs="Calibri"/>
                <w:b/>
                <w:color w:val="000000"/>
              </w:rPr>
            </w:pPr>
            <w:r>
              <w:rPr>
                <w:rFonts w:cs="Calibri"/>
                <w:b/>
                <w:color w:val="000000"/>
                <w:szCs w:val="22"/>
              </w:rPr>
              <w:t>Domaine public</w:t>
            </w:r>
          </w:p>
        </w:tc>
        <w:tc>
          <w:tcPr>
            <w:tcW w:w="850" w:type="dxa"/>
            <w:tcBorders>
              <w:top w:val="single" w:sz="4" w:space="0" w:color="auto"/>
              <w:left w:val="nil"/>
              <w:bottom w:val="single" w:sz="4" w:space="0" w:color="auto"/>
              <w:right w:val="single" w:sz="4" w:space="0" w:color="auto"/>
            </w:tcBorders>
            <w:shd w:val="clear" w:color="auto" w:fill="DBE5F1" w:themeFill="accent1" w:themeFillTint="33"/>
            <w:vAlign w:val="center"/>
            <w:hideMark/>
          </w:tcPr>
          <w:p>
            <w:pPr>
              <w:spacing w:before="0"/>
              <w:jc w:val="center"/>
              <w:rPr>
                <w:rFonts w:cs="Calibri"/>
                <w:b/>
                <w:color w:val="000000"/>
              </w:rPr>
            </w:pPr>
            <w:r>
              <w:rPr>
                <w:rFonts w:cs="Calibri"/>
                <w:b/>
                <w:color w:val="000000"/>
                <w:szCs w:val="22"/>
              </w:rPr>
              <w:t>Domaine privé</w:t>
            </w:r>
          </w:p>
        </w:tc>
        <w:tc>
          <w:tcPr>
            <w:tcW w:w="843" w:type="dxa"/>
            <w:vMerge/>
            <w:tcBorders>
              <w:top w:val="single" w:sz="4" w:space="0" w:color="auto"/>
              <w:left w:val="single" w:sz="4" w:space="0" w:color="auto"/>
              <w:bottom w:val="single" w:sz="4" w:space="0" w:color="auto"/>
              <w:right w:val="single" w:sz="4" w:space="0" w:color="auto"/>
            </w:tcBorders>
            <w:vAlign w:val="center"/>
            <w:hideMark/>
          </w:tcPr>
          <w:p>
            <w:pPr>
              <w:spacing w:before="0"/>
              <w:jc w:val="center"/>
              <w:rPr>
                <w:rFonts w:cs="Calibri"/>
                <w:color w:val="000000"/>
              </w:rPr>
            </w:pPr>
          </w:p>
        </w:tc>
        <w:tc>
          <w:tcPr>
            <w:tcW w:w="1142" w:type="dxa"/>
            <w:vMerge/>
            <w:tcBorders>
              <w:top w:val="single" w:sz="4" w:space="0" w:color="auto"/>
              <w:left w:val="single" w:sz="4" w:space="0" w:color="auto"/>
              <w:bottom w:val="single" w:sz="4" w:space="0" w:color="auto"/>
              <w:right w:val="single" w:sz="4" w:space="0" w:color="auto"/>
            </w:tcBorders>
            <w:vAlign w:val="center"/>
            <w:hideMark/>
          </w:tcPr>
          <w:p>
            <w:pPr>
              <w:spacing w:before="0"/>
              <w:jc w:val="center"/>
              <w:rPr>
                <w:rFonts w:cs="Calibri"/>
                <w:color w:val="000000"/>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pPr>
              <w:spacing w:before="0"/>
              <w:jc w:val="center"/>
              <w:rPr>
                <w:rFonts w:cs="Calibri"/>
                <w:color w:val="000000"/>
              </w:rPr>
            </w:pPr>
          </w:p>
        </w:tc>
      </w:tr>
      <w:tr>
        <w:trPr>
          <w:trHeight w:val="300"/>
        </w:trPr>
        <w:tc>
          <w:tcPr>
            <w:tcW w:w="1090" w:type="dxa"/>
            <w:vMerge w:val="restart"/>
            <w:tcBorders>
              <w:top w:val="single" w:sz="4" w:space="0" w:color="auto"/>
              <w:left w:val="single" w:sz="4" w:space="0" w:color="auto"/>
              <w:right w:val="single" w:sz="4" w:space="0" w:color="auto"/>
            </w:tcBorders>
            <w:shd w:val="clear" w:color="auto" w:fill="auto"/>
            <w:vAlign w:val="center"/>
            <w:hideMark/>
          </w:tcPr>
          <w:p>
            <w:pPr>
              <w:spacing w:before="0"/>
              <w:jc w:val="center"/>
              <w:rPr>
                <w:rFonts w:cs="Calibri"/>
                <w:color w:val="000000"/>
              </w:rPr>
            </w:pPr>
            <w:r>
              <w:rPr>
                <w:rFonts w:cs="Calibri"/>
                <w:color w:val="000000"/>
                <w:szCs w:val="22"/>
              </w:rPr>
              <w:t>Garons</w:t>
            </w:r>
          </w:p>
        </w:tc>
        <w:tc>
          <w:tcPr>
            <w:tcW w:w="1193" w:type="dxa"/>
            <w:vMerge w:val="restart"/>
            <w:tcBorders>
              <w:top w:val="nil"/>
              <w:left w:val="single" w:sz="4" w:space="0" w:color="auto"/>
              <w:right w:val="single" w:sz="4" w:space="0" w:color="auto"/>
            </w:tcBorders>
            <w:shd w:val="clear" w:color="auto" w:fill="auto"/>
            <w:noWrap/>
            <w:vAlign w:val="center"/>
            <w:hideMark/>
          </w:tcPr>
          <w:p>
            <w:pPr>
              <w:spacing w:before="0"/>
              <w:jc w:val="center"/>
              <w:rPr>
                <w:rFonts w:cs="Calibri"/>
                <w:color w:val="000000"/>
              </w:rPr>
            </w:pPr>
            <w:r>
              <w:rPr>
                <w:rFonts w:cs="Calibri"/>
                <w:color w:val="000000"/>
                <w:szCs w:val="22"/>
              </w:rPr>
              <w:t>Secteur La Grand Terre</w:t>
            </w:r>
          </w:p>
        </w:tc>
        <w:tc>
          <w:tcPr>
            <w:tcW w:w="1843" w:type="dxa"/>
            <w:tcBorders>
              <w:top w:val="nil"/>
              <w:left w:val="nil"/>
              <w:bottom w:val="single" w:sz="4" w:space="0" w:color="auto"/>
              <w:right w:val="single" w:sz="4" w:space="0" w:color="auto"/>
            </w:tcBorders>
            <w:shd w:val="clear" w:color="auto" w:fill="auto"/>
            <w:noWrap/>
            <w:vAlign w:val="center"/>
            <w:hideMark/>
          </w:tcPr>
          <w:p>
            <w:pPr>
              <w:spacing w:before="0"/>
              <w:jc w:val="center"/>
              <w:rPr>
                <w:rFonts w:cs="Calibri"/>
                <w:color w:val="000000"/>
              </w:rPr>
            </w:pPr>
            <w:r>
              <w:rPr>
                <w:rFonts w:cs="Calibri"/>
                <w:color w:val="000000"/>
                <w:szCs w:val="22"/>
              </w:rPr>
              <w:t>Regard</w:t>
            </w:r>
          </w:p>
        </w:tc>
        <w:tc>
          <w:tcPr>
            <w:tcW w:w="567"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4</w:t>
            </w:r>
          </w:p>
        </w:tc>
        <w:tc>
          <w:tcPr>
            <w:tcW w:w="851"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0</w:t>
            </w:r>
          </w:p>
        </w:tc>
        <w:tc>
          <w:tcPr>
            <w:tcW w:w="850"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4</w:t>
            </w:r>
          </w:p>
        </w:tc>
        <w:tc>
          <w:tcPr>
            <w:tcW w:w="843"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100</w:t>
            </w:r>
          </w:p>
        </w:tc>
        <w:tc>
          <w:tcPr>
            <w:tcW w:w="1142" w:type="dxa"/>
            <w:vMerge w:val="restart"/>
            <w:tcBorders>
              <w:top w:val="nil"/>
              <w:left w:val="single" w:sz="4" w:space="0" w:color="auto"/>
              <w:right w:val="single" w:sz="4" w:space="0" w:color="auto"/>
            </w:tcBorders>
            <w:shd w:val="clear" w:color="auto" w:fill="auto"/>
            <w:noWrap/>
            <w:vAlign w:val="center"/>
            <w:hideMark/>
          </w:tcPr>
          <w:p>
            <w:pPr>
              <w:spacing w:before="0"/>
              <w:jc w:val="center"/>
              <w:rPr>
                <w:rFonts w:cs="Calibri"/>
                <w:color w:val="000000"/>
              </w:rPr>
            </w:pPr>
            <w:r>
              <w:rPr>
                <w:rFonts w:cs="Calibri"/>
                <w:color w:val="000000"/>
              </w:rPr>
              <w:t>350</w:t>
            </w:r>
          </w:p>
        </w:tc>
        <w:tc>
          <w:tcPr>
            <w:tcW w:w="1275" w:type="dxa"/>
            <w:vMerge w:val="restart"/>
            <w:tcBorders>
              <w:top w:val="nil"/>
              <w:left w:val="single" w:sz="4" w:space="0" w:color="auto"/>
              <w:right w:val="single" w:sz="4" w:space="0" w:color="auto"/>
            </w:tcBorders>
            <w:shd w:val="clear" w:color="auto" w:fill="auto"/>
            <w:noWrap/>
            <w:vAlign w:val="center"/>
            <w:hideMark/>
          </w:tcPr>
          <w:p>
            <w:pPr>
              <w:spacing w:before="0"/>
              <w:jc w:val="center"/>
              <w:rPr>
                <w:rFonts w:cs="Calibri"/>
                <w:color w:val="000000"/>
                <w:szCs w:val="22"/>
              </w:rPr>
            </w:pPr>
            <w:r>
              <w:rPr>
                <w:rFonts w:cs="Calibri"/>
                <w:color w:val="000000"/>
                <w:szCs w:val="22"/>
              </w:rPr>
              <w:t>344</w:t>
            </w:r>
          </w:p>
        </w:tc>
      </w:tr>
      <w:tr>
        <w:trPr>
          <w:trHeight w:val="300"/>
        </w:trPr>
        <w:tc>
          <w:tcPr>
            <w:tcW w:w="1090" w:type="dxa"/>
            <w:vMerge/>
            <w:tcBorders>
              <w:left w:val="single" w:sz="4" w:space="0" w:color="auto"/>
              <w:right w:val="single" w:sz="4" w:space="0" w:color="auto"/>
            </w:tcBorders>
            <w:shd w:val="clear" w:color="auto" w:fill="auto"/>
            <w:vAlign w:val="center"/>
            <w:hideMark/>
          </w:tcPr>
          <w:p>
            <w:pPr>
              <w:spacing w:before="0"/>
              <w:jc w:val="center"/>
              <w:rPr>
                <w:rFonts w:cs="Calibri"/>
                <w:color w:val="000000"/>
              </w:rPr>
            </w:pPr>
          </w:p>
        </w:tc>
        <w:tc>
          <w:tcPr>
            <w:tcW w:w="1193" w:type="dxa"/>
            <w:vMerge/>
            <w:tcBorders>
              <w:left w:val="single" w:sz="4" w:space="0" w:color="auto"/>
              <w:right w:val="single" w:sz="4" w:space="0" w:color="auto"/>
            </w:tcBorders>
            <w:shd w:val="clear" w:color="auto" w:fill="auto"/>
            <w:noWrap/>
            <w:vAlign w:val="center"/>
            <w:hideMark/>
          </w:tcPr>
          <w:p>
            <w:pPr>
              <w:spacing w:before="0"/>
              <w:jc w:val="center"/>
              <w:rPr>
                <w:rFonts w:cs="Calibri"/>
                <w:color w:val="000000"/>
              </w:rPr>
            </w:pPr>
          </w:p>
        </w:tc>
        <w:tc>
          <w:tcPr>
            <w:tcW w:w="1843" w:type="dxa"/>
            <w:tcBorders>
              <w:top w:val="nil"/>
              <w:left w:val="nil"/>
              <w:bottom w:val="single" w:sz="4" w:space="0" w:color="auto"/>
              <w:right w:val="single" w:sz="4" w:space="0" w:color="auto"/>
            </w:tcBorders>
            <w:shd w:val="clear" w:color="auto" w:fill="auto"/>
            <w:noWrap/>
            <w:vAlign w:val="center"/>
            <w:hideMark/>
          </w:tcPr>
          <w:p>
            <w:pPr>
              <w:spacing w:before="0"/>
              <w:jc w:val="center"/>
              <w:rPr>
                <w:rFonts w:cs="Calibri"/>
                <w:color w:val="000000"/>
              </w:rPr>
            </w:pPr>
            <w:r>
              <w:rPr>
                <w:rFonts w:cs="Calibri"/>
                <w:color w:val="000000"/>
                <w:szCs w:val="22"/>
              </w:rPr>
              <w:t>Boite de branchement</w:t>
            </w:r>
          </w:p>
        </w:tc>
        <w:tc>
          <w:tcPr>
            <w:tcW w:w="567"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7</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0</w:t>
            </w:r>
          </w:p>
        </w:tc>
        <w:tc>
          <w:tcPr>
            <w:tcW w:w="850"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7</w:t>
            </w:r>
          </w:p>
        </w:tc>
        <w:tc>
          <w:tcPr>
            <w:tcW w:w="843"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220</w:t>
            </w:r>
          </w:p>
        </w:tc>
        <w:tc>
          <w:tcPr>
            <w:tcW w:w="1142" w:type="dxa"/>
            <w:vMerge/>
            <w:tcBorders>
              <w:left w:val="single" w:sz="4" w:space="0" w:color="auto"/>
              <w:right w:val="single" w:sz="4" w:space="0" w:color="auto"/>
            </w:tcBorders>
            <w:shd w:val="clear" w:color="auto" w:fill="auto"/>
            <w:noWrap/>
            <w:vAlign w:val="center"/>
            <w:hideMark/>
          </w:tcPr>
          <w:p>
            <w:pPr>
              <w:spacing w:before="0"/>
              <w:jc w:val="center"/>
              <w:rPr>
                <w:rFonts w:cs="Calibri"/>
                <w:color w:val="000000"/>
              </w:rPr>
            </w:pPr>
          </w:p>
        </w:tc>
        <w:tc>
          <w:tcPr>
            <w:tcW w:w="1275" w:type="dxa"/>
            <w:vMerge/>
            <w:tcBorders>
              <w:left w:val="single" w:sz="4" w:space="0" w:color="auto"/>
              <w:right w:val="single" w:sz="4" w:space="0" w:color="auto"/>
            </w:tcBorders>
            <w:shd w:val="clear" w:color="auto" w:fill="auto"/>
            <w:noWrap/>
            <w:vAlign w:val="center"/>
            <w:hideMark/>
          </w:tcPr>
          <w:p>
            <w:pPr>
              <w:spacing w:before="0"/>
              <w:jc w:val="center"/>
              <w:rPr>
                <w:rFonts w:cs="Calibri"/>
                <w:color w:val="000000"/>
                <w:szCs w:val="22"/>
              </w:rPr>
            </w:pPr>
          </w:p>
        </w:tc>
      </w:tr>
      <w:tr>
        <w:trPr>
          <w:trHeight w:val="300"/>
        </w:trPr>
        <w:tc>
          <w:tcPr>
            <w:tcW w:w="1090" w:type="dxa"/>
            <w:vMerge/>
            <w:tcBorders>
              <w:left w:val="single" w:sz="4" w:space="0" w:color="auto"/>
              <w:right w:val="single" w:sz="4" w:space="0" w:color="auto"/>
            </w:tcBorders>
            <w:shd w:val="clear" w:color="auto" w:fill="auto"/>
            <w:vAlign w:val="center"/>
            <w:hideMark/>
          </w:tcPr>
          <w:p>
            <w:pPr>
              <w:spacing w:before="0"/>
              <w:jc w:val="center"/>
              <w:rPr>
                <w:rFonts w:cs="Calibri"/>
                <w:color w:val="000000"/>
              </w:rPr>
            </w:pPr>
          </w:p>
        </w:tc>
        <w:tc>
          <w:tcPr>
            <w:tcW w:w="1193" w:type="dxa"/>
            <w:vMerge/>
            <w:tcBorders>
              <w:left w:val="single" w:sz="4" w:space="0" w:color="auto"/>
              <w:right w:val="single" w:sz="4" w:space="0" w:color="auto"/>
            </w:tcBorders>
            <w:shd w:val="clear" w:color="auto" w:fill="auto"/>
            <w:noWrap/>
            <w:vAlign w:val="center"/>
            <w:hideMark/>
          </w:tcPr>
          <w:p>
            <w:pPr>
              <w:spacing w:before="0"/>
              <w:jc w:val="center"/>
              <w:rPr>
                <w:rFonts w:cs="Calibri"/>
                <w:color w:val="000000"/>
              </w:rPr>
            </w:pPr>
          </w:p>
        </w:tc>
        <w:tc>
          <w:tcPr>
            <w:tcW w:w="1843" w:type="dxa"/>
            <w:tcBorders>
              <w:top w:val="nil"/>
              <w:left w:val="nil"/>
              <w:bottom w:val="single" w:sz="4" w:space="0" w:color="auto"/>
              <w:right w:val="single" w:sz="4" w:space="0" w:color="auto"/>
            </w:tcBorders>
            <w:shd w:val="clear" w:color="auto" w:fill="auto"/>
            <w:noWrap/>
            <w:vAlign w:val="center"/>
            <w:hideMark/>
          </w:tcPr>
          <w:p>
            <w:pPr>
              <w:spacing w:before="0"/>
              <w:jc w:val="center"/>
              <w:rPr>
                <w:rFonts w:cs="Calibri"/>
                <w:color w:val="000000"/>
              </w:rPr>
            </w:pPr>
            <w:r>
              <w:rPr>
                <w:rFonts w:cs="Calibri"/>
                <w:color w:val="000000"/>
                <w:szCs w:val="22"/>
              </w:rPr>
              <w:t>Anomalie non identifiée</w:t>
            </w:r>
          </w:p>
        </w:tc>
        <w:tc>
          <w:tcPr>
            <w:tcW w:w="567"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3</w:t>
            </w:r>
          </w:p>
        </w:tc>
        <w:tc>
          <w:tcPr>
            <w:tcW w:w="851"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0</w:t>
            </w:r>
          </w:p>
        </w:tc>
        <w:tc>
          <w:tcPr>
            <w:tcW w:w="850"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3</w:t>
            </w:r>
          </w:p>
        </w:tc>
        <w:tc>
          <w:tcPr>
            <w:tcW w:w="843"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30</w:t>
            </w:r>
          </w:p>
        </w:tc>
        <w:tc>
          <w:tcPr>
            <w:tcW w:w="1142" w:type="dxa"/>
            <w:vMerge/>
            <w:tcBorders>
              <w:left w:val="single" w:sz="4" w:space="0" w:color="auto"/>
              <w:right w:val="single" w:sz="4" w:space="0" w:color="auto"/>
            </w:tcBorders>
            <w:shd w:val="clear" w:color="auto" w:fill="auto"/>
            <w:noWrap/>
            <w:vAlign w:val="center"/>
            <w:hideMark/>
          </w:tcPr>
          <w:p>
            <w:pPr>
              <w:spacing w:before="0"/>
              <w:jc w:val="center"/>
              <w:rPr>
                <w:rFonts w:cs="Calibri"/>
                <w:color w:val="000000"/>
              </w:rPr>
            </w:pPr>
          </w:p>
        </w:tc>
        <w:tc>
          <w:tcPr>
            <w:tcW w:w="1275" w:type="dxa"/>
            <w:vMerge/>
            <w:tcBorders>
              <w:left w:val="single" w:sz="4" w:space="0" w:color="auto"/>
              <w:right w:val="single" w:sz="4" w:space="0" w:color="auto"/>
            </w:tcBorders>
            <w:shd w:val="clear" w:color="auto" w:fill="auto"/>
            <w:noWrap/>
            <w:vAlign w:val="center"/>
            <w:hideMark/>
          </w:tcPr>
          <w:p>
            <w:pPr>
              <w:spacing w:before="0"/>
              <w:jc w:val="center"/>
              <w:rPr>
                <w:rFonts w:cs="Calibri"/>
                <w:color w:val="000000"/>
                <w:szCs w:val="22"/>
              </w:rPr>
            </w:pPr>
          </w:p>
        </w:tc>
      </w:tr>
      <w:tr>
        <w:trPr>
          <w:trHeight w:val="300"/>
        </w:trPr>
        <w:tc>
          <w:tcPr>
            <w:tcW w:w="1090" w:type="dxa"/>
            <w:vMerge/>
            <w:tcBorders>
              <w:left w:val="single" w:sz="4" w:space="0" w:color="auto"/>
              <w:right w:val="single" w:sz="4" w:space="0" w:color="auto"/>
            </w:tcBorders>
            <w:shd w:val="clear" w:color="auto" w:fill="auto"/>
            <w:vAlign w:val="center"/>
            <w:hideMark/>
          </w:tcPr>
          <w:p>
            <w:pPr>
              <w:spacing w:before="0"/>
              <w:jc w:val="center"/>
              <w:rPr>
                <w:rFonts w:cs="Calibri"/>
                <w:color w:val="000000"/>
              </w:rPr>
            </w:pPr>
          </w:p>
        </w:tc>
        <w:tc>
          <w:tcPr>
            <w:tcW w:w="1193" w:type="dxa"/>
            <w:vMerge/>
            <w:tcBorders>
              <w:left w:val="single" w:sz="4" w:space="0" w:color="auto"/>
              <w:right w:val="single" w:sz="4" w:space="0" w:color="auto"/>
            </w:tcBorders>
            <w:shd w:val="clear" w:color="auto" w:fill="auto"/>
            <w:noWrap/>
            <w:vAlign w:val="center"/>
            <w:hideMark/>
          </w:tcPr>
          <w:p>
            <w:pPr>
              <w:spacing w:before="0"/>
              <w:jc w:val="center"/>
              <w:rPr>
                <w:rFonts w:cs="Calibri"/>
                <w:color w:val="000000"/>
              </w:rPr>
            </w:pPr>
          </w:p>
        </w:tc>
        <w:tc>
          <w:tcPr>
            <w:tcW w:w="1843" w:type="dxa"/>
            <w:tcBorders>
              <w:top w:val="nil"/>
              <w:left w:val="nil"/>
              <w:bottom w:val="single" w:sz="4" w:space="0" w:color="auto"/>
              <w:right w:val="single" w:sz="4" w:space="0" w:color="auto"/>
            </w:tcBorders>
            <w:shd w:val="clear" w:color="auto" w:fill="auto"/>
            <w:noWrap/>
            <w:vAlign w:val="center"/>
            <w:hideMark/>
          </w:tcPr>
          <w:p>
            <w:pPr>
              <w:spacing w:before="0"/>
              <w:jc w:val="center"/>
              <w:rPr>
                <w:rFonts w:cs="Calibri"/>
                <w:color w:val="000000"/>
              </w:rPr>
            </w:pPr>
            <w:r>
              <w:rPr>
                <w:rFonts w:cs="Calibri"/>
                <w:color w:val="000000"/>
                <w:szCs w:val="22"/>
              </w:rPr>
              <w:t>Autres</w:t>
            </w:r>
          </w:p>
        </w:tc>
        <w:tc>
          <w:tcPr>
            <w:tcW w:w="567"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2</w:t>
            </w:r>
          </w:p>
        </w:tc>
        <w:tc>
          <w:tcPr>
            <w:tcW w:w="851"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2</w:t>
            </w:r>
          </w:p>
        </w:tc>
        <w:tc>
          <w:tcPr>
            <w:tcW w:w="850"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0</w:t>
            </w:r>
          </w:p>
        </w:tc>
        <w:tc>
          <w:tcPr>
            <w:tcW w:w="843"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0</w:t>
            </w:r>
          </w:p>
        </w:tc>
        <w:tc>
          <w:tcPr>
            <w:tcW w:w="1142" w:type="dxa"/>
            <w:vMerge/>
            <w:tcBorders>
              <w:left w:val="single" w:sz="4" w:space="0" w:color="auto"/>
              <w:right w:val="single" w:sz="4" w:space="0" w:color="auto"/>
            </w:tcBorders>
            <w:shd w:val="clear" w:color="auto" w:fill="auto"/>
            <w:noWrap/>
            <w:vAlign w:val="center"/>
            <w:hideMark/>
          </w:tcPr>
          <w:p>
            <w:pPr>
              <w:spacing w:before="0"/>
              <w:jc w:val="center"/>
              <w:rPr>
                <w:rFonts w:cs="Calibri"/>
                <w:color w:val="000000"/>
              </w:rPr>
            </w:pPr>
          </w:p>
        </w:tc>
        <w:tc>
          <w:tcPr>
            <w:tcW w:w="1275" w:type="dxa"/>
            <w:vMerge/>
            <w:tcBorders>
              <w:left w:val="single" w:sz="4" w:space="0" w:color="auto"/>
              <w:right w:val="single" w:sz="4" w:space="0" w:color="auto"/>
            </w:tcBorders>
            <w:shd w:val="clear" w:color="auto" w:fill="auto"/>
            <w:noWrap/>
            <w:vAlign w:val="center"/>
            <w:hideMark/>
          </w:tcPr>
          <w:p>
            <w:pPr>
              <w:spacing w:before="0"/>
              <w:jc w:val="center"/>
              <w:rPr>
                <w:rFonts w:cs="Calibri"/>
                <w:color w:val="000000"/>
                <w:szCs w:val="22"/>
              </w:rPr>
            </w:pPr>
          </w:p>
        </w:tc>
      </w:tr>
      <w:tr>
        <w:trPr>
          <w:trHeight w:val="300"/>
        </w:trPr>
        <w:tc>
          <w:tcPr>
            <w:tcW w:w="1090" w:type="dxa"/>
            <w:vMerge/>
            <w:tcBorders>
              <w:left w:val="single" w:sz="4" w:space="0" w:color="auto"/>
              <w:right w:val="single" w:sz="4" w:space="0" w:color="auto"/>
            </w:tcBorders>
            <w:shd w:val="clear" w:color="auto" w:fill="auto"/>
            <w:vAlign w:val="center"/>
            <w:hideMark/>
          </w:tcPr>
          <w:p>
            <w:pPr>
              <w:spacing w:before="0"/>
              <w:jc w:val="center"/>
              <w:rPr>
                <w:rFonts w:cs="Calibri"/>
                <w:color w:val="000000"/>
              </w:rPr>
            </w:pPr>
          </w:p>
        </w:tc>
        <w:tc>
          <w:tcPr>
            <w:tcW w:w="1193" w:type="dxa"/>
            <w:vMerge/>
            <w:tcBorders>
              <w:left w:val="single" w:sz="4" w:space="0" w:color="auto"/>
              <w:bottom w:val="single" w:sz="4" w:space="0" w:color="auto"/>
              <w:right w:val="single" w:sz="4" w:space="0" w:color="auto"/>
            </w:tcBorders>
            <w:shd w:val="clear" w:color="auto" w:fill="auto"/>
            <w:noWrap/>
            <w:vAlign w:val="center"/>
            <w:hideMark/>
          </w:tcPr>
          <w:p>
            <w:pPr>
              <w:spacing w:before="0"/>
              <w:jc w:val="center"/>
              <w:rPr>
                <w:rFonts w:cs="Calibri"/>
                <w:color w:val="000000"/>
              </w:rPr>
            </w:pPr>
          </w:p>
        </w:tc>
        <w:tc>
          <w:tcPr>
            <w:tcW w:w="1843" w:type="dxa"/>
            <w:tcBorders>
              <w:top w:val="nil"/>
              <w:left w:val="nil"/>
              <w:bottom w:val="single" w:sz="4" w:space="0" w:color="auto"/>
              <w:right w:val="single" w:sz="4" w:space="0" w:color="auto"/>
            </w:tcBorders>
            <w:shd w:val="clear" w:color="auto" w:fill="auto"/>
            <w:noWrap/>
            <w:vAlign w:val="center"/>
            <w:hideMark/>
          </w:tcPr>
          <w:p>
            <w:pPr>
              <w:spacing w:before="0"/>
              <w:jc w:val="center"/>
              <w:rPr>
                <w:rFonts w:cs="Calibri"/>
                <w:b/>
                <w:color w:val="000000"/>
              </w:rPr>
            </w:pPr>
            <w:r>
              <w:rPr>
                <w:rFonts w:cs="Calibri"/>
                <w:b/>
                <w:color w:val="000000"/>
              </w:rPr>
              <w:t>TOTAL</w:t>
            </w:r>
          </w:p>
        </w:tc>
        <w:tc>
          <w:tcPr>
            <w:tcW w:w="567"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b/>
                <w:bCs/>
                <w:color w:val="000000"/>
              </w:rPr>
            </w:pPr>
            <w:r>
              <w:rPr>
                <w:rFonts w:cs="Calibri"/>
                <w:b/>
                <w:bCs/>
                <w:color w:val="000000"/>
              </w:rPr>
              <w:t>16</w:t>
            </w:r>
          </w:p>
        </w:tc>
        <w:tc>
          <w:tcPr>
            <w:tcW w:w="851"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b/>
                <w:bCs/>
                <w:color w:val="000000"/>
              </w:rPr>
            </w:pPr>
            <w:r>
              <w:rPr>
                <w:rFonts w:cs="Calibri"/>
                <w:b/>
                <w:bCs/>
                <w:color w:val="000000"/>
              </w:rPr>
              <w:t>2</w:t>
            </w:r>
          </w:p>
        </w:tc>
        <w:tc>
          <w:tcPr>
            <w:tcW w:w="850"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b/>
                <w:bCs/>
                <w:color w:val="000000"/>
              </w:rPr>
            </w:pPr>
            <w:r>
              <w:rPr>
                <w:rFonts w:cs="Calibri"/>
                <w:b/>
                <w:bCs/>
                <w:color w:val="000000"/>
              </w:rPr>
              <w:t>14</w:t>
            </w:r>
          </w:p>
        </w:tc>
        <w:tc>
          <w:tcPr>
            <w:tcW w:w="843"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b/>
                <w:bCs/>
                <w:color w:val="000000"/>
              </w:rPr>
            </w:pPr>
            <w:r>
              <w:rPr>
                <w:rFonts w:cs="Calibri"/>
                <w:b/>
                <w:bCs/>
                <w:color w:val="000000"/>
              </w:rPr>
              <w:t>350</w:t>
            </w:r>
          </w:p>
        </w:tc>
        <w:tc>
          <w:tcPr>
            <w:tcW w:w="1142" w:type="dxa"/>
            <w:vMerge/>
            <w:tcBorders>
              <w:left w:val="single" w:sz="4" w:space="0" w:color="auto"/>
              <w:bottom w:val="single" w:sz="4" w:space="0" w:color="auto"/>
              <w:right w:val="single" w:sz="4" w:space="0" w:color="auto"/>
            </w:tcBorders>
            <w:shd w:val="clear" w:color="auto" w:fill="auto"/>
            <w:noWrap/>
            <w:vAlign w:val="center"/>
            <w:hideMark/>
          </w:tcPr>
          <w:p>
            <w:pPr>
              <w:spacing w:before="0"/>
              <w:jc w:val="center"/>
              <w:rPr>
                <w:rFonts w:cs="Calibri"/>
                <w:color w:val="000000"/>
              </w:rPr>
            </w:pPr>
          </w:p>
        </w:tc>
        <w:tc>
          <w:tcPr>
            <w:tcW w:w="1275" w:type="dxa"/>
            <w:vMerge/>
            <w:tcBorders>
              <w:left w:val="single" w:sz="4" w:space="0" w:color="auto"/>
              <w:bottom w:val="single" w:sz="4" w:space="0" w:color="auto"/>
              <w:right w:val="single" w:sz="4" w:space="0" w:color="auto"/>
            </w:tcBorders>
            <w:shd w:val="clear" w:color="auto" w:fill="auto"/>
            <w:noWrap/>
            <w:vAlign w:val="center"/>
            <w:hideMark/>
          </w:tcPr>
          <w:p>
            <w:pPr>
              <w:spacing w:before="0"/>
              <w:jc w:val="center"/>
              <w:rPr>
                <w:rFonts w:cs="Calibri"/>
                <w:color w:val="000000"/>
                <w:szCs w:val="22"/>
              </w:rPr>
            </w:pPr>
          </w:p>
        </w:tc>
      </w:tr>
      <w:tr>
        <w:trPr>
          <w:trHeight w:val="300"/>
        </w:trPr>
        <w:tc>
          <w:tcPr>
            <w:tcW w:w="1090" w:type="dxa"/>
            <w:vMerge/>
            <w:tcBorders>
              <w:left w:val="single" w:sz="4" w:space="0" w:color="auto"/>
              <w:right w:val="single" w:sz="4" w:space="0" w:color="auto"/>
            </w:tcBorders>
            <w:shd w:val="clear" w:color="auto" w:fill="auto"/>
            <w:vAlign w:val="center"/>
            <w:hideMark/>
          </w:tcPr>
          <w:p>
            <w:pPr>
              <w:spacing w:before="0"/>
              <w:jc w:val="center"/>
              <w:rPr>
                <w:rFonts w:cs="Calibri"/>
                <w:color w:val="000000"/>
              </w:rPr>
            </w:pPr>
          </w:p>
        </w:tc>
        <w:tc>
          <w:tcPr>
            <w:tcW w:w="1193" w:type="dxa"/>
            <w:vMerge w:val="restart"/>
            <w:tcBorders>
              <w:top w:val="nil"/>
              <w:left w:val="single" w:sz="4" w:space="0" w:color="auto"/>
              <w:right w:val="single" w:sz="4" w:space="0" w:color="auto"/>
            </w:tcBorders>
            <w:shd w:val="clear" w:color="auto" w:fill="auto"/>
            <w:noWrap/>
            <w:vAlign w:val="center"/>
            <w:hideMark/>
          </w:tcPr>
          <w:p>
            <w:pPr>
              <w:spacing w:before="0"/>
              <w:jc w:val="center"/>
              <w:rPr>
                <w:rFonts w:cs="Calibri"/>
                <w:color w:val="000000"/>
              </w:rPr>
            </w:pPr>
            <w:r>
              <w:rPr>
                <w:rFonts w:cs="Calibri"/>
                <w:color w:val="000000"/>
                <w:szCs w:val="22"/>
              </w:rPr>
              <w:t>Secteur Clouterie</w:t>
            </w:r>
          </w:p>
        </w:tc>
        <w:tc>
          <w:tcPr>
            <w:tcW w:w="1843" w:type="dxa"/>
            <w:tcBorders>
              <w:top w:val="nil"/>
              <w:left w:val="nil"/>
              <w:bottom w:val="single" w:sz="4" w:space="0" w:color="auto"/>
              <w:right w:val="single" w:sz="4" w:space="0" w:color="auto"/>
            </w:tcBorders>
            <w:shd w:val="clear" w:color="auto" w:fill="auto"/>
            <w:noWrap/>
            <w:vAlign w:val="center"/>
            <w:hideMark/>
          </w:tcPr>
          <w:p>
            <w:pPr>
              <w:spacing w:before="0"/>
              <w:jc w:val="center"/>
              <w:rPr>
                <w:rFonts w:cs="Calibri"/>
                <w:color w:val="000000"/>
              </w:rPr>
            </w:pPr>
            <w:r>
              <w:rPr>
                <w:rFonts w:cs="Calibri"/>
                <w:color w:val="000000"/>
                <w:szCs w:val="22"/>
              </w:rPr>
              <w:t>Regard</w:t>
            </w:r>
          </w:p>
        </w:tc>
        <w:tc>
          <w:tcPr>
            <w:tcW w:w="567"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21</w:t>
            </w:r>
          </w:p>
        </w:tc>
        <w:tc>
          <w:tcPr>
            <w:tcW w:w="851"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12</w:t>
            </w:r>
          </w:p>
        </w:tc>
        <w:tc>
          <w:tcPr>
            <w:tcW w:w="850"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9</w:t>
            </w:r>
          </w:p>
        </w:tc>
        <w:tc>
          <w:tcPr>
            <w:tcW w:w="843"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735</w:t>
            </w:r>
          </w:p>
        </w:tc>
        <w:tc>
          <w:tcPr>
            <w:tcW w:w="1142" w:type="dxa"/>
            <w:vMerge w:val="restart"/>
            <w:tcBorders>
              <w:top w:val="nil"/>
              <w:left w:val="single" w:sz="4" w:space="0" w:color="auto"/>
              <w:right w:val="single" w:sz="4" w:space="0" w:color="auto"/>
            </w:tcBorders>
            <w:shd w:val="clear" w:color="auto" w:fill="auto"/>
            <w:noWrap/>
            <w:vAlign w:val="center"/>
            <w:hideMark/>
          </w:tcPr>
          <w:p>
            <w:pPr>
              <w:spacing w:before="0"/>
              <w:jc w:val="center"/>
              <w:rPr>
                <w:rFonts w:cs="Calibri"/>
                <w:color w:val="000000"/>
              </w:rPr>
            </w:pPr>
            <w:r>
              <w:rPr>
                <w:rFonts w:cs="Calibri"/>
                <w:color w:val="000000"/>
              </w:rPr>
              <w:t>1680</w:t>
            </w:r>
          </w:p>
        </w:tc>
        <w:tc>
          <w:tcPr>
            <w:tcW w:w="1275" w:type="dxa"/>
            <w:vMerge w:val="restart"/>
            <w:tcBorders>
              <w:top w:val="nil"/>
              <w:left w:val="single" w:sz="4" w:space="0" w:color="auto"/>
              <w:right w:val="single" w:sz="4" w:space="0" w:color="auto"/>
            </w:tcBorders>
            <w:shd w:val="clear" w:color="auto" w:fill="auto"/>
            <w:noWrap/>
            <w:vAlign w:val="center"/>
            <w:hideMark/>
          </w:tcPr>
          <w:p>
            <w:pPr>
              <w:spacing w:before="0"/>
              <w:jc w:val="center"/>
              <w:rPr>
                <w:rFonts w:cs="Calibri"/>
                <w:color w:val="000000"/>
                <w:szCs w:val="22"/>
              </w:rPr>
            </w:pPr>
            <w:r>
              <w:rPr>
                <w:rFonts w:cs="Calibri"/>
                <w:color w:val="000000"/>
                <w:szCs w:val="22"/>
              </w:rPr>
              <w:t>1782</w:t>
            </w:r>
          </w:p>
        </w:tc>
      </w:tr>
      <w:tr>
        <w:trPr>
          <w:trHeight w:val="300"/>
        </w:trPr>
        <w:tc>
          <w:tcPr>
            <w:tcW w:w="1090" w:type="dxa"/>
            <w:vMerge/>
            <w:tcBorders>
              <w:left w:val="single" w:sz="4" w:space="0" w:color="auto"/>
              <w:right w:val="single" w:sz="4" w:space="0" w:color="auto"/>
            </w:tcBorders>
            <w:shd w:val="clear" w:color="auto" w:fill="auto"/>
            <w:vAlign w:val="center"/>
            <w:hideMark/>
          </w:tcPr>
          <w:p>
            <w:pPr>
              <w:spacing w:before="0"/>
              <w:jc w:val="center"/>
              <w:rPr>
                <w:rFonts w:cs="Calibri"/>
                <w:color w:val="000000"/>
              </w:rPr>
            </w:pPr>
          </w:p>
        </w:tc>
        <w:tc>
          <w:tcPr>
            <w:tcW w:w="1193" w:type="dxa"/>
            <w:vMerge/>
            <w:tcBorders>
              <w:left w:val="single" w:sz="4" w:space="0" w:color="auto"/>
              <w:right w:val="single" w:sz="4" w:space="0" w:color="auto"/>
            </w:tcBorders>
            <w:shd w:val="clear" w:color="auto" w:fill="auto"/>
            <w:noWrap/>
            <w:vAlign w:val="center"/>
            <w:hideMark/>
          </w:tcPr>
          <w:p>
            <w:pPr>
              <w:spacing w:before="0"/>
              <w:jc w:val="center"/>
              <w:rPr>
                <w:rFonts w:cs="Calibri"/>
                <w:color w:val="000000"/>
              </w:rPr>
            </w:pPr>
          </w:p>
        </w:tc>
        <w:tc>
          <w:tcPr>
            <w:tcW w:w="1843" w:type="dxa"/>
            <w:tcBorders>
              <w:top w:val="nil"/>
              <w:left w:val="nil"/>
              <w:bottom w:val="single" w:sz="4" w:space="0" w:color="auto"/>
              <w:right w:val="single" w:sz="4" w:space="0" w:color="auto"/>
            </w:tcBorders>
            <w:shd w:val="clear" w:color="auto" w:fill="auto"/>
            <w:noWrap/>
            <w:vAlign w:val="center"/>
            <w:hideMark/>
          </w:tcPr>
          <w:p>
            <w:pPr>
              <w:spacing w:before="0"/>
              <w:jc w:val="center"/>
              <w:rPr>
                <w:rFonts w:cs="Calibri"/>
                <w:color w:val="000000"/>
              </w:rPr>
            </w:pPr>
            <w:r>
              <w:rPr>
                <w:rFonts w:cs="Calibri"/>
                <w:color w:val="000000"/>
                <w:szCs w:val="22"/>
              </w:rPr>
              <w:t>Boite de branchement</w:t>
            </w:r>
          </w:p>
        </w:tc>
        <w:tc>
          <w:tcPr>
            <w:tcW w:w="567"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17</w:t>
            </w:r>
          </w:p>
        </w:tc>
        <w:tc>
          <w:tcPr>
            <w:tcW w:w="851"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10</w:t>
            </w:r>
          </w:p>
        </w:tc>
        <w:tc>
          <w:tcPr>
            <w:tcW w:w="850"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7</w:t>
            </w:r>
          </w:p>
        </w:tc>
        <w:tc>
          <w:tcPr>
            <w:tcW w:w="843"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625</w:t>
            </w:r>
          </w:p>
        </w:tc>
        <w:tc>
          <w:tcPr>
            <w:tcW w:w="1142" w:type="dxa"/>
            <w:vMerge/>
            <w:tcBorders>
              <w:left w:val="single" w:sz="4" w:space="0" w:color="auto"/>
              <w:right w:val="single" w:sz="4" w:space="0" w:color="auto"/>
            </w:tcBorders>
            <w:shd w:val="clear" w:color="auto" w:fill="auto"/>
            <w:noWrap/>
            <w:vAlign w:val="center"/>
            <w:hideMark/>
          </w:tcPr>
          <w:p>
            <w:pPr>
              <w:spacing w:before="0"/>
              <w:jc w:val="center"/>
              <w:rPr>
                <w:rFonts w:cs="Calibri"/>
                <w:color w:val="000000"/>
              </w:rPr>
            </w:pPr>
          </w:p>
        </w:tc>
        <w:tc>
          <w:tcPr>
            <w:tcW w:w="1275" w:type="dxa"/>
            <w:vMerge/>
            <w:tcBorders>
              <w:left w:val="single" w:sz="4" w:space="0" w:color="auto"/>
              <w:right w:val="single" w:sz="4" w:space="0" w:color="auto"/>
            </w:tcBorders>
            <w:shd w:val="clear" w:color="auto" w:fill="auto"/>
            <w:noWrap/>
            <w:vAlign w:val="center"/>
            <w:hideMark/>
          </w:tcPr>
          <w:p>
            <w:pPr>
              <w:spacing w:before="0"/>
              <w:jc w:val="center"/>
              <w:rPr>
                <w:rFonts w:cs="Calibri"/>
                <w:color w:val="000000"/>
                <w:szCs w:val="22"/>
              </w:rPr>
            </w:pPr>
          </w:p>
        </w:tc>
      </w:tr>
      <w:tr>
        <w:trPr>
          <w:trHeight w:val="300"/>
        </w:trPr>
        <w:tc>
          <w:tcPr>
            <w:tcW w:w="1090" w:type="dxa"/>
            <w:vMerge/>
            <w:tcBorders>
              <w:left w:val="single" w:sz="4" w:space="0" w:color="auto"/>
              <w:right w:val="single" w:sz="4" w:space="0" w:color="auto"/>
            </w:tcBorders>
            <w:shd w:val="clear" w:color="auto" w:fill="auto"/>
            <w:vAlign w:val="center"/>
            <w:hideMark/>
          </w:tcPr>
          <w:p>
            <w:pPr>
              <w:spacing w:before="0"/>
              <w:jc w:val="center"/>
              <w:rPr>
                <w:rFonts w:cs="Calibri"/>
                <w:color w:val="000000"/>
              </w:rPr>
            </w:pPr>
          </w:p>
        </w:tc>
        <w:tc>
          <w:tcPr>
            <w:tcW w:w="1193" w:type="dxa"/>
            <w:vMerge/>
            <w:tcBorders>
              <w:left w:val="single" w:sz="4" w:space="0" w:color="auto"/>
              <w:right w:val="single" w:sz="4" w:space="0" w:color="auto"/>
            </w:tcBorders>
            <w:shd w:val="clear" w:color="auto" w:fill="auto"/>
            <w:noWrap/>
            <w:vAlign w:val="center"/>
            <w:hideMark/>
          </w:tcPr>
          <w:p>
            <w:pPr>
              <w:spacing w:before="0"/>
              <w:jc w:val="center"/>
              <w:rPr>
                <w:rFonts w:cs="Calibri"/>
                <w:color w:val="000000"/>
              </w:rPr>
            </w:pPr>
          </w:p>
        </w:tc>
        <w:tc>
          <w:tcPr>
            <w:tcW w:w="1843" w:type="dxa"/>
            <w:tcBorders>
              <w:top w:val="nil"/>
              <w:left w:val="nil"/>
              <w:bottom w:val="single" w:sz="4" w:space="0" w:color="auto"/>
              <w:right w:val="single" w:sz="4" w:space="0" w:color="auto"/>
            </w:tcBorders>
            <w:shd w:val="clear" w:color="auto" w:fill="auto"/>
            <w:noWrap/>
            <w:vAlign w:val="center"/>
            <w:hideMark/>
          </w:tcPr>
          <w:p>
            <w:pPr>
              <w:spacing w:before="0"/>
              <w:jc w:val="center"/>
              <w:rPr>
                <w:rFonts w:cs="Calibri"/>
                <w:color w:val="000000"/>
              </w:rPr>
            </w:pPr>
            <w:r>
              <w:rPr>
                <w:rFonts w:cs="Calibri"/>
                <w:color w:val="000000"/>
                <w:szCs w:val="22"/>
              </w:rPr>
              <w:t>Anomalie non identifiée</w:t>
            </w:r>
          </w:p>
        </w:tc>
        <w:tc>
          <w:tcPr>
            <w:tcW w:w="567"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5</w:t>
            </w:r>
          </w:p>
        </w:tc>
        <w:tc>
          <w:tcPr>
            <w:tcW w:w="851"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0</w:t>
            </w:r>
          </w:p>
        </w:tc>
        <w:tc>
          <w:tcPr>
            <w:tcW w:w="850"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5</w:t>
            </w:r>
          </w:p>
        </w:tc>
        <w:tc>
          <w:tcPr>
            <w:tcW w:w="843"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320</w:t>
            </w:r>
          </w:p>
        </w:tc>
        <w:tc>
          <w:tcPr>
            <w:tcW w:w="1142" w:type="dxa"/>
            <w:vMerge/>
            <w:tcBorders>
              <w:left w:val="single" w:sz="4" w:space="0" w:color="auto"/>
              <w:right w:val="single" w:sz="4" w:space="0" w:color="auto"/>
            </w:tcBorders>
            <w:shd w:val="clear" w:color="auto" w:fill="auto"/>
            <w:noWrap/>
            <w:vAlign w:val="center"/>
            <w:hideMark/>
          </w:tcPr>
          <w:p>
            <w:pPr>
              <w:spacing w:before="0"/>
              <w:jc w:val="center"/>
              <w:rPr>
                <w:rFonts w:cs="Calibri"/>
                <w:color w:val="000000"/>
              </w:rPr>
            </w:pPr>
          </w:p>
        </w:tc>
        <w:tc>
          <w:tcPr>
            <w:tcW w:w="1275" w:type="dxa"/>
            <w:vMerge/>
            <w:tcBorders>
              <w:left w:val="single" w:sz="4" w:space="0" w:color="auto"/>
              <w:right w:val="single" w:sz="4" w:space="0" w:color="auto"/>
            </w:tcBorders>
            <w:shd w:val="clear" w:color="auto" w:fill="auto"/>
            <w:noWrap/>
            <w:vAlign w:val="center"/>
            <w:hideMark/>
          </w:tcPr>
          <w:p>
            <w:pPr>
              <w:spacing w:before="0"/>
              <w:jc w:val="center"/>
              <w:rPr>
                <w:rFonts w:cs="Calibri"/>
                <w:color w:val="000000"/>
                <w:szCs w:val="22"/>
              </w:rPr>
            </w:pPr>
          </w:p>
        </w:tc>
      </w:tr>
      <w:tr>
        <w:trPr>
          <w:trHeight w:val="300"/>
        </w:trPr>
        <w:tc>
          <w:tcPr>
            <w:tcW w:w="1090" w:type="dxa"/>
            <w:vMerge/>
            <w:tcBorders>
              <w:left w:val="single" w:sz="4" w:space="0" w:color="auto"/>
              <w:right w:val="single" w:sz="4" w:space="0" w:color="auto"/>
            </w:tcBorders>
            <w:shd w:val="clear" w:color="auto" w:fill="auto"/>
            <w:vAlign w:val="center"/>
            <w:hideMark/>
          </w:tcPr>
          <w:p>
            <w:pPr>
              <w:spacing w:before="0"/>
              <w:jc w:val="center"/>
              <w:rPr>
                <w:rFonts w:cs="Calibri"/>
                <w:color w:val="000000"/>
              </w:rPr>
            </w:pPr>
          </w:p>
        </w:tc>
        <w:tc>
          <w:tcPr>
            <w:tcW w:w="1193" w:type="dxa"/>
            <w:vMerge/>
            <w:tcBorders>
              <w:left w:val="single" w:sz="4" w:space="0" w:color="auto"/>
              <w:right w:val="single" w:sz="4" w:space="0" w:color="auto"/>
            </w:tcBorders>
            <w:shd w:val="clear" w:color="auto" w:fill="auto"/>
            <w:noWrap/>
            <w:vAlign w:val="center"/>
            <w:hideMark/>
          </w:tcPr>
          <w:p>
            <w:pPr>
              <w:spacing w:before="0"/>
              <w:jc w:val="center"/>
              <w:rPr>
                <w:rFonts w:cs="Calibri"/>
                <w:color w:val="000000"/>
              </w:rPr>
            </w:pPr>
          </w:p>
        </w:tc>
        <w:tc>
          <w:tcPr>
            <w:tcW w:w="1843" w:type="dxa"/>
            <w:tcBorders>
              <w:top w:val="nil"/>
              <w:left w:val="nil"/>
              <w:bottom w:val="single" w:sz="4" w:space="0" w:color="auto"/>
              <w:right w:val="single" w:sz="4" w:space="0" w:color="auto"/>
            </w:tcBorders>
            <w:shd w:val="clear" w:color="auto" w:fill="auto"/>
            <w:noWrap/>
            <w:vAlign w:val="center"/>
            <w:hideMark/>
          </w:tcPr>
          <w:p>
            <w:pPr>
              <w:spacing w:before="0"/>
              <w:jc w:val="center"/>
              <w:rPr>
                <w:rFonts w:cs="Calibri"/>
                <w:color w:val="000000"/>
              </w:rPr>
            </w:pPr>
            <w:r>
              <w:rPr>
                <w:rFonts w:cs="Calibri"/>
                <w:color w:val="000000"/>
                <w:szCs w:val="22"/>
              </w:rPr>
              <w:t>Autres</w:t>
            </w:r>
          </w:p>
        </w:tc>
        <w:tc>
          <w:tcPr>
            <w:tcW w:w="567"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1</w:t>
            </w:r>
          </w:p>
        </w:tc>
        <w:tc>
          <w:tcPr>
            <w:tcW w:w="851"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0</w:t>
            </w:r>
          </w:p>
        </w:tc>
        <w:tc>
          <w:tcPr>
            <w:tcW w:w="850"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1</w:t>
            </w:r>
          </w:p>
        </w:tc>
        <w:tc>
          <w:tcPr>
            <w:tcW w:w="843"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ND</w:t>
            </w:r>
          </w:p>
        </w:tc>
        <w:tc>
          <w:tcPr>
            <w:tcW w:w="1142" w:type="dxa"/>
            <w:vMerge/>
            <w:tcBorders>
              <w:left w:val="single" w:sz="4" w:space="0" w:color="auto"/>
              <w:right w:val="single" w:sz="4" w:space="0" w:color="auto"/>
            </w:tcBorders>
            <w:shd w:val="clear" w:color="auto" w:fill="auto"/>
            <w:noWrap/>
            <w:vAlign w:val="center"/>
            <w:hideMark/>
          </w:tcPr>
          <w:p>
            <w:pPr>
              <w:spacing w:before="0"/>
              <w:jc w:val="center"/>
              <w:rPr>
                <w:rFonts w:cs="Calibri"/>
                <w:color w:val="000000"/>
              </w:rPr>
            </w:pPr>
          </w:p>
        </w:tc>
        <w:tc>
          <w:tcPr>
            <w:tcW w:w="1275" w:type="dxa"/>
            <w:vMerge/>
            <w:tcBorders>
              <w:left w:val="single" w:sz="4" w:space="0" w:color="auto"/>
              <w:right w:val="single" w:sz="4" w:space="0" w:color="auto"/>
            </w:tcBorders>
            <w:shd w:val="clear" w:color="auto" w:fill="auto"/>
            <w:noWrap/>
            <w:vAlign w:val="center"/>
            <w:hideMark/>
          </w:tcPr>
          <w:p>
            <w:pPr>
              <w:spacing w:before="0"/>
              <w:jc w:val="center"/>
              <w:rPr>
                <w:rFonts w:cs="Calibri"/>
                <w:color w:val="000000"/>
                <w:szCs w:val="22"/>
              </w:rPr>
            </w:pPr>
          </w:p>
        </w:tc>
      </w:tr>
      <w:tr>
        <w:trPr>
          <w:trHeight w:val="300"/>
        </w:trPr>
        <w:tc>
          <w:tcPr>
            <w:tcW w:w="1090" w:type="dxa"/>
            <w:vMerge/>
            <w:tcBorders>
              <w:left w:val="single" w:sz="4" w:space="0" w:color="auto"/>
              <w:right w:val="single" w:sz="4" w:space="0" w:color="auto"/>
            </w:tcBorders>
            <w:shd w:val="clear" w:color="auto" w:fill="auto"/>
            <w:vAlign w:val="center"/>
            <w:hideMark/>
          </w:tcPr>
          <w:p>
            <w:pPr>
              <w:spacing w:before="0"/>
              <w:jc w:val="center"/>
              <w:rPr>
                <w:rFonts w:cs="Calibri"/>
                <w:color w:val="000000"/>
              </w:rPr>
            </w:pPr>
          </w:p>
        </w:tc>
        <w:tc>
          <w:tcPr>
            <w:tcW w:w="1193" w:type="dxa"/>
            <w:vMerge/>
            <w:tcBorders>
              <w:left w:val="single" w:sz="4" w:space="0" w:color="auto"/>
              <w:bottom w:val="single" w:sz="4" w:space="0" w:color="auto"/>
              <w:right w:val="single" w:sz="4" w:space="0" w:color="auto"/>
            </w:tcBorders>
            <w:shd w:val="clear" w:color="auto" w:fill="auto"/>
            <w:noWrap/>
            <w:vAlign w:val="center"/>
            <w:hideMark/>
          </w:tcPr>
          <w:p>
            <w:pPr>
              <w:spacing w:before="0"/>
              <w:jc w:val="center"/>
              <w:rPr>
                <w:rFonts w:cs="Calibri"/>
                <w:color w:val="000000"/>
              </w:rPr>
            </w:pPr>
          </w:p>
        </w:tc>
        <w:tc>
          <w:tcPr>
            <w:tcW w:w="1843" w:type="dxa"/>
            <w:tcBorders>
              <w:top w:val="nil"/>
              <w:left w:val="nil"/>
              <w:bottom w:val="single" w:sz="4" w:space="0" w:color="auto"/>
              <w:right w:val="single" w:sz="4" w:space="0" w:color="auto"/>
            </w:tcBorders>
            <w:shd w:val="clear" w:color="auto" w:fill="auto"/>
            <w:noWrap/>
            <w:vAlign w:val="center"/>
            <w:hideMark/>
          </w:tcPr>
          <w:p>
            <w:pPr>
              <w:spacing w:before="0"/>
              <w:jc w:val="center"/>
              <w:rPr>
                <w:rFonts w:cs="Calibri"/>
                <w:b/>
                <w:color w:val="000000"/>
              </w:rPr>
            </w:pPr>
            <w:r>
              <w:rPr>
                <w:rFonts w:cs="Calibri"/>
                <w:b/>
                <w:color w:val="000000"/>
              </w:rPr>
              <w:t>TOTAL</w:t>
            </w:r>
          </w:p>
        </w:tc>
        <w:tc>
          <w:tcPr>
            <w:tcW w:w="567"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b/>
                <w:bCs/>
                <w:color w:val="000000"/>
              </w:rPr>
            </w:pPr>
            <w:r>
              <w:rPr>
                <w:rFonts w:cs="Calibri"/>
                <w:b/>
                <w:bCs/>
                <w:color w:val="000000"/>
              </w:rPr>
              <w:t>44</w:t>
            </w:r>
          </w:p>
        </w:tc>
        <w:tc>
          <w:tcPr>
            <w:tcW w:w="851"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b/>
                <w:bCs/>
                <w:color w:val="000000"/>
              </w:rPr>
            </w:pPr>
            <w:r>
              <w:rPr>
                <w:rFonts w:cs="Calibri"/>
                <w:b/>
                <w:bCs/>
                <w:color w:val="000000"/>
              </w:rPr>
              <w:t>22</w:t>
            </w:r>
          </w:p>
        </w:tc>
        <w:tc>
          <w:tcPr>
            <w:tcW w:w="850"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b/>
                <w:bCs/>
                <w:color w:val="000000"/>
              </w:rPr>
            </w:pPr>
            <w:r>
              <w:rPr>
                <w:rFonts w:cs="Calibri"/>
                <w:b/>
                <w:bCs/>
                <w:color w:val="000000"/>
              </w:rPr>
              <w:t>22</w:t>
            </w:r>
          </w:p>
        </w:tc>
        <w:tc>
          <w:tcPr>
            <w:tcW w:w="843"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b/>
                <w:bCs/>
                <w:color w:val="000000"/>
              </w:rPr>
            </w:pPr>
            <w:r>
              <w:rPr>
                <w:rFonts w:cs="Calibri"/>
                <w:b/>
                <w:bCs/>
                <w:color w:val="000000"/>
              </w:rPr>
              <w:t>1680</w:t>
            </w:r>
          </w:p>
        </w:tc>
        <w:tc>
          <w:tcPr>
            <w:tcW w:w="1142" w:type="dxa"/>
            <w:vMerge/>
            <w:tcBorders>
              <w:left w:val="single" w:sz="4" w:space="0" w:color="auto"/>
              <w:bottom w:val="single" w:sz="4" w:space="0" w:color="auto"/>
              <w:right w:val="single" w:sz="4" w:space="0" w:color="auto"/>
            </w:tcBorders>
            <w:shd w:val="clear" w:color="auto" w:fill="auto"/>
            <w:noWrap/>
            <w:vAlign w:val="center"/>
            <w:hideMark/>
          </w:tcPr>
          <w:p>
            <w:pPr>
              <w:spacing w:before="0"/>
              <w:jc w:val="center"/>
              <w:rPr>
                <w:rFonts w:cs="Calibri"/>
                <w:color w:val="000000"/>
              </w:rPr>
            </w:pPr>
          </w:p>
        </w:tc>
        <w:tc>
          <w:tcPr>
            <w:tcW w:w="1275" w:type="dxa"/>
            <w:vMerge/>
            <w:tcBorders>
              <w:left w:val="single" w:sz="4" w:space="0" w:color="auto"/>
              <w:bottom w:val="single" w:sz="4" w:space="0" w:color="auto"/>
              <w:right w:val="single" w:sz="4" w:space="0" w:color="auto"/>
            </w:tcBorders>
            <w:shd w:val="clear" w:color="auto" w:fill="auto"/>
            <w:noWrap/>
            <w:vAlign w:val="center"/>
            <w:hideMark/>
          </w:tcPr>
          <w:p>
            <w:pPr>
              <w:spacing w:before="0"/>
              <w:jc w:val="center"/>
              <w:rPr>
                <w:rFonts w:cs="Calibri"/>
                <w:color w:val="000000"/>
                <w:szCs w:val="22"/>
              </w:rPr>
            </w:pPr>
          </w:p>
        </w:tc>
      </w:tr>
      <w:tr>
        <w:trPr>
          <w:trHeight w:val="300"/>
        </w:trPr>
        <w:tc>
          <w:tcPr>
            <w:tcW w:w="1090" w:type="dxa"/>
            <w:vMerge/>
            <w:tcBorders>
              <w:left w:val="single" w:sz="4" w:space="0" w:color="auto"/>
              <w:right w:val="single" w:sz="4" w:space="0" w:color="auto"/>
            </w:tcBorders>
            <w:shd w:val="clear" w:color="auto" w:fill="auto"/>
            <w:vAlign w:val="center"/>
            <w:hideMark/>
          </w:tcPr>
          <w:p>
            <w:pPr>
              <w:spacing w:before="0"/>
              <w:jc w:val="center"/>
              <w:rPr>
                <w:rFonts w:cs="Calibri"/>
                <w:color w:val="000000"/>
              </w:rPr>
            </w:pPr>
          </w:p>
        </w:tc>
        <w:tc>
          <w:tcPr>
            <w:tcW w:w="1193" w:type="dxa"/>
            <w:vMerge w:val="restart"/>
            <w:tcBorders>
              <w:top w:val="nil"/>
              <w:left w:val="single" w:sz="4" w:space="0" w:color="auto"/>
              <w:right w:val="single" w:sz="4" w:space="0" w:color="auto"/>
            </w:tcBorders>
            <w:shd w:val="clear" w:color="auto" w:fill="auto"/>
            <w:noWrap/>
            <w:vAlign w:val="center"/>
            <w:hideMark/>
          </w:tcPr>
          <w:p>
            <w:pPr>
              <w:spacing w:before="0"/>
              <w:jc w:val="center"/>
              <w:rPr>
                <w:rFonts w:cs="Calibri"/>
                <w:color w:val="000000"/>
              </w:rPr>
            </w:pPr>
            <w:r>
              <w:rPr>
                <w:rFonts w:cs="Calibri"/>
                <w:color w:val="000000"/>
                <w:szCs w:val="22"/>
              </w:rPr>
              <w:t>Secteur Village</w:t>
            </w:r>
          </w:p>
        </w:tc>
        <w:tc>
          <w:tcPr>
            <w:tcW w:w="1843" w:type="dxa"/>
            <w:tcBorders>
              <w:top w:val="nil"/>
              <w:left w:val="nil"/>
              <w:bottom w:val="single" w:sz="4" w:space="0" w:color="auto"/>
              <w:right w:val="single" w:sz="4" w:space="0" w:color="auto"/>
            </w:tcBorders>
            <w:shd w:val="clear" w:color="auto" w:fill="auto"/>
            <w:noWrap/>
            <w:vAlign w:val="center"/>
            <w:hideMark/>
          </w:tcPr>
          <w:p>
            <w:pPr>
              <w:spacing w:before="0"/>
              <w:jc w:val="center"/>
              <w:rPr>
                <w:rFonts w:cs="Calibri"/>
                <w:color w:val="000000"/>
              </w:rPr>
            </w:pPr>
            <w:r>
              <w:rPr>
                <w:rFonts w:cs="Calibri"/>
                <w:color w:val="000000"/>
                <w:szCs w:val="22"/>
              </w:rPr>
              <w:t>Regard</w:t>
            </w:r>
          </w:p>
        </w:tc>
        <w:tc>
          <w:tcPr>
            <w:tcW w:w="567"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12</w:t>
            </w:r>
          </w:p>
        </w:tc>
        <w:tc>
          <w:tcPr>
            <w:tcW w:w="851"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8</w:t>
            </w:r>
          </w:p>
        </w:tc>
        <w:tc>
          <w:tcPr>
            <w:tcW w:w="850"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4</w:t>
            </w:r>
          </w:p>
        </w:tc>
        <w:tc>
          <w:tcPr>
            <w:tcW w:w="843"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1600</w:t>
            </w:r>
          </w:p>
        </w:tc>
        <w:tc>
          <w:tcPr>
            <w:tcW w:w="1142" w:type="dxa"/>
            <w:vMerge w:val="restart"/>
            <w:tcBorders>
              <w:top w:val="nil"/>
              <w:left w:val="single" w:sz="4" w:space="0" w:color="auto"/>
              <w:right w:val="single" w:sz="4" w:space="0" w:color="auto"/>
            </w:tcBorders>
            <w:shd w:val="clear" w:color="auto" w:fill="auto"/>
            <w:noWrap/>
            <w:vAlign w:val="center"/>
            <w:hideMark/>
          </w:tcPr>
          <w:p>
            <w:pPr>
              <w:spacing w:before="0"/>
              <w:jc w:val="center"/>
              <w:rPr>
                <w:rFonts w:cs="Calibri"/>
                <w:color w:val="000000"/>
                <w:szCs w:val="22"/>
              </w:rPr>
            </w:pPr>
            <w:r>
              <w:rPr>
                <w:rFonts w:cs="Calibri"/>
                <w:color w:val="000000"/>
                <w:szCs w:val="22"/>
              </w:rPr>
              <w:t>11035</w:t>
            </w:r>
          </w:p>
        </w:tc>
        <w:tc>
          <w:tcPr>
            <w:tcW w:w="1275" w:type="dxa"/>
            <w:vMerge w:val="restart"/>
            <w:tcBorders>
              <w:top w:val="nil"/>
              <w:left w:val="single" w:sz="4" w:space="0" w:color="auto"/>
              <w:right w:val="single" w:sz="4" w:space="0" w:color="auto"/>
            </w:tcBorders>
            <w:shd w:val="clear" w:color="auto" w:fill="auto"/>
            <w:noWrap/>
            <w:vAlign w:val="center"/>
            <w:hideMark/>
          </w:tcPr>
          <w:p>
            <w:pPr>
              <w:spacing w:before="0"/>
              <w:jc w:val="center"/>
              <w:rPr>
                <w:rFonts w:cs="Calibri"/>
                <w:color w:val="000000"/>
                <w:szCs w:val="22"/>
              </w:rPr>
            </w:pPr>
            <w:r>
              <w:rPr>
                <w:rFonts w:cs="Calibri"/>
                <w:color w:val="000000"/>
                <w:szCs w:val="22"/>
              </w:rPr>
              <w:t>15 815</w:t>
            </w:r>
          </w:p>
        </w:tc>
      </w:tr>
      <w:tr>
        <w:trPr>
          <w:trHeight w:val="300"/>
        </w:trPr>
        <w:tc>
          <w:tcPr>
            <w:tcW w:w="1090" w:type="dxa"/>
            <w:vMerge/>
            <w:tcBorders>
              <w:left w:val="single" w:sz="4" w:space="0" w:color="auto"/>
              <w:right w:val="single" w:sz="4" w:space="0" w:color="auto"/>
            </w:tcBorders>
            <w:shd w:val="clear" w:color="auto" w:fill="auto"/>
            <w:vAlign w:val="center"/>
            <w:hideMark/>
          </w:tcPr>
          <w:p>
            <w:pPr>
              <w:spacing w:before="0"/>
              <w:jc w:val="center"/>
              <w:rPr>
                <w:rFonts w:cs="Calibri"/>
                <w:color w:val="000000"/>
              </w:rPr>
            </w:pPr>
          </w:p>
        </w:tc>
        <w:tc>
          <w:tcPr>
            <w:tcW w:w="1193" w:type="dxa"/>
            <w:vMerge/>
            <w:tcBorders>
              <w:left w:val="single" w:sz="4" w:space="0" w:color="auto"/>
              <w:right w:val="single" w:sz="4" w:space="0" w:color="auto"/>
            </w:tcBorders>
            <w:shd w:val="clear" w:color="auto" w:fill="auto"/>
            <w:noWrap/>
            <w:vAlign w:val="center"/>
            <w:hideMark/>
          </w:tcPr>
          <w:p>
            <w:pPr>
              <w:spacing w:before="0"/>
              <w:jc w:val="center"/>
              <w:rPr>
                <w:rFonts w:cs="Calibri"/>
                <w:color w:val="000000"/>
              </w:rPr>
            </w:pPr>
          </w:p>
        </w:tc>
        <w:tc>
          <w:tcPr>
            <w:tcW w:w="1843" w:type="dxa"/>
            <w:tcBorders>
              <w:top w:val="nil"/>
              <w:left w:val="nil"/>
              <w:bottom w:val="single" w:sz="4" w:space="0" w:color="auto"/>
              <w:right w:val="single" w:sz="4" w:space="0" w:color="auto"/>
            </w:tcBorders>
            <w:shd w:val="clear" w:color="auto" w:fill="auto"/>
            <w:noWrap/>
            <w:vAlign w:val="center"/>
            <w:hideMark/>
          </w:tcPr>
          <w:p>
            <w:pPr>
              <w:spacing w:before="0"/>
              <w:jc w:val="center"/>
              <w:rPr>
                <w:rFonts w:cs="Calibri"/>
                <w:color w:val="000000"/>
              </w:rPr>
            </w:pPr>
            <w:r>
              <w:rPr>
                <w:rFonts w:cs="Calibri"/>
                <w:color w:val="000000"/>
                <w:szCs w:val="22"/>
              </w:rPr>
              <w:t>Boite de branchement</w:t>
            </w:r>
          </w:p>
        </w:tc>
        <w:tc>
          <w:tcPr>
            <w:tcW w:w="567"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90</w:t>
            </w:r>
          </w:p>
        </w:tc>
        <w:tc>
          <w:tcPr>
            <w:tcW w:w="851"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65</w:t>
            </w:r>
          </w:p>
        </w:tc>
        <w:tc>
          <w:tcPr>
            <w:tcW w:w="850"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25</w:t>
            </w:r>
          </w:p>
        </w:tc>
        <w:tc>
          <w:tcPr>
            <w:tcW w:w="843"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5915</w:t>
            </w:r>
          </w:p>
        </w:tc>
        <w:tc>
          <w:tcPr>
            <w:tcW w:w="1142" w:type="dxa"/>
            <w:vMerge/>
            <w:tcBorders>
              <w:left w:val="single" w:sz="4" w:space="0" w:color="auto"/>
              <w:right w:val="single" w:sz="4" w:space="0" w:color="auto"/>
            </w:tcBorders>
            <w:shd w:val="clear" w:color="auto" w:fill="auto"/>
            <w:noWrap/>
            <w:vAlign w:val="center"/>
            <w:hideMark/>
          </w:tcPr>
          <w:p>
            <w:pPr>
              <w:spacing w:before="0"/>
              <w:jc w:val="center"/>
              <w:rPr>
                <w:rFonts w:cs="Calibri"/>
                <w:color w:val="000000"/>
                <w:szCs w:val="22"/>
              </w:rPr>
            </w:pPr>
          </w:p>
        </w:tc>
        <w:tc>
          <w:tcPr>
            <w:tcW w:w="1275" w:type="dxa"/>
            <w:vMerge/>
            <w:tcBorders>
              <w:left w:val="single" w:sz="4" w:space="0" w:color="auto"/>
              <w:right w:val="single" w:sz="4" w:space="0" w:color="auto"/>
            </w:tcBorders>
            <w:shd w:val="clear" w:color="auto" w:fill="auto"/>
            <w:noWrap/>
            <w:vAlign w:val="center"/>
            <w:hideMark/>
          </w:tcPr>
          <w:p>
            <w:pPr>
              <w:spacing w:before="0"/>
              <w:jc w:val="center"/>
              <w:rPr>
                <w:rFonts w:cs="Calibri"/>
                <w:color w:val="000000"/>
                <w:szCs w:val="22"/>
              </w:rPr>
            </w:pPr>
          </w:p>
        </w:tc>
      </w:tr>
      <w:tr>
        <w:trPr>
          <w:trHeight w:val="300"/>
        </w:trPr>
        <w:tc>
          <w:tcPr>
            <w:tcW w:w="1090" w:type="dxa"/>
            <w:vMerge/>
            <w:tcBorders>
              <w:left w:val="single" w:sz="4" w:space="0" w:color="auto"/>
              <w:right w:val="single" w:sz="4" w:space="0" w:color="auto"/>
            </w:tcBorders>
            <w:shd w:val="clear" w:color="auto" w:fill="auto"/>
            <w:vAlign w:val="center"/>
            <w:hideMark/>
          </w:tcPr>
          <w:p>
            <w:pPr>
              <w:spacing w:before="0"/>
              <w:jc w:val="center"/>
              <w:rPr>
                <w:rFonts w:cs="Calibri"/>
                <w:color w:val="000000"/>
              </w:rPr>
            </w:pPr>
          </w:p>
        </w:tc>
        <w:tc>
          <w:tcPr>
            <w:tcW w:w="1193" w:type="dxa"/>
            <w:vMerge/>
            <w:tcBorders>
              <w:left w:val="single" w:sz="4" w:space="0" w:color="auto"/>
              <w:right w:val="single" w:sz="4" w:space="0" w:color="auto"/>
            </w:tcBorders>
            <w:shd w:val="clear" w:color="auto" w:fill="auto"/>
            <w:noWrap/>
            <w:vAlign w:val="center"/>
            <w:hideMark/>
          </w:tcPr>
          <w:p>
            <w:pPr>
              <w:spacing w:before="0"/>
              <w:jc w:val="center"/>
              <w:rPr>
                <w:rFonts w:cs="Calibri"/>
                <w:color w:val="000000"/>
              </w:rPr>
            </w:pPr>
          </w:p>
        </w:tc>
        <w:tc>
          <w:tcPr>
            <w:tcW w:w="1843" w:type="dxa"/>
            <w:tcBorders>
              <w:top w:val="nil"/>
              <w:left w:val="nil"/>
              <w:bottom w:val="single" w:sz="4" w:space="0" w:color="auto"/>
              <w:right w:val="single" w:sz="4" w:space="0" w:color="auto"/>
            </w:tcBorders>
            <w:shd w:val="clear" w:color="auto" w:fill="auto"/>
            <w:noWrap/>
            <w:vAlign w:val="center"/>
            <w:hideMark/>
          </w:tcPr>
          <w:p>
            <w:pPr>
              <w:spacing w:before="0"/>
              <w:jc w:val="center"/>
              <w:rPr>
                <w:rFonts w:cs="Calibri"/>
                <w:color w:val="000000"/>
              </w:rPr>
            </w:pPr>
            <w:r>
              <w:rPr>
                <w:rFonts w:cs="Calibri"/>
                <w:color w:val="000000"/>
                <w:szCs w:val="22"/>
              </w:rPr>
              <w:t>Gouttière</w:t>
            </w:r>
          </w:p>
        </w:tc>
        <w:tc>
          <w:tcPr>
            <w:tcW w:w="567"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16</w:t>
            </w:r>
          </w:p>
        </w:tc>
        <w:tc>
          <w:tcPr>
            <w:tcW w:w="851"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0</w:t>
            </w:r>
          </w:p>
        </w:tc>
        <w:tc>
          <w:tcPr>
            <w:tcW w:w="850"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16</w:t>
            </w:r>
          </w:p>
        </w:tc>
        <w:tc>
          <w:tcPr>
            <w:tcW w:w="843"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940</w:t>
            </w:r>
          </w:p>
        </w:tc>
        <w:tc>
          <w:tcPr>
            <w:tcW w:w="1142" w:type="dxa"/>
            <w:vMerge/>
            <w:tcBorders>
              <w:left w:val="single" w:sz="4" w:space="0" w:color="auto"/>
              <w:right w:val="single" w:sz="4" w:space="0" w:color="auto"/>
            </w:tcBorders>
            <w:shd w:val="clear" w:color="auto" w:fill="auto"/>
            <w:noWrap/>
            <w:vAlign w:val="center"/>
            <w:hideMark/>
          </w:tcPr>
          <w:p>
            <w:pPr>
              <w:spacing w:before="0"/>
              <w:jc w:val="center"/>
              <w:rPr>
                <w:rFonts w:cs="Calibri"/>
                <w:color w:val="000000"/>
                <w:szCs w:val="22"/>
              </w:rPr>
            </w:pPr>
          </w:p>
        </w:tc>
        <w:tc>
          <w:tcPr>
            <w:tcW w:w="1275" w:type="dxa"/>
            <w:vMerge/>
            <w:tcBorders>
              <w:left w:val="single" w:sz="4" w:space="0" w:color="auto"/>
              <w:right w:val="single" w:sz="4" w:space="0" w:color="auto"/>
            </w:tcBorders>
            <w:shd w:val="clear" w:color="auto" w:fill="auto"/>
            <w:noWrap/>
            <w:vAlign w:val="center"/>
            <w:hideMark/>
          </w:tcPr>
          <w:p>
            <w:pPr>
              <w:spacing w:before="0"/>
              <w:jc w:val="center"/>
              <w:rPr>
                <w:rFonts w:cs="Calibri"/>
                <w:color w:val="000000"/>
                <w:szCs w:val="22"/>
              </w:rPr>
            </w:pPr>
          </w:p>
        </w:tc>
      </w:tr>
      <w:tr>
        <w:trPr>
          <w:trHeight w:val="300"/>
        </w:trPr>
        <w:tc>
          <w:tcPr>
            <w:tcW w:w="1090" w:type="dxa"/>
            <w:vMerge/>
            <w:tcBorders>
              <w:left w:val="single" w:sz="4" w:space="0" w:color="auto"/>
              <w:right w:val="single" w:sz="4" w:space="0" w:color="auto"/>
            </w:tcBorders>
            <w:shd w:val="clear" w:color="auto" w:fill="auto"/>
            <w:vAlign w:val="center"/>
            <w:hideMark/>
          </w:tcPr>
          <w:p>
            <w:pPr>
              <w:spacing w:before="0"/>
              <w:jc w:val="center"/>
              <w:rPr>
                <w:rFonts w:cs="Calibri"/>
                <w:color w:val="000000"/>
              </w:rPr>
            </w:pPr>
          </w:p>
        </w:tc>
        <w:tc>
          <w:tcPr>
            <w:tcW w:w="1193" w:type="dxa"/>
            <w:vMerge/>
            <w:tcBorders>
              <w:left w:val="single" w:sz="4" w:space="0" w:color="auto"/>
              <w:right w:val="single" w:sz="4" w:space="0" w:color="auto"/>
            </w:tcBorders>
            <w:shd w:val="clear" w:color="auto" w:fill="auto"/>
            <w:noWrap/>
            <w:vAlign w:val="center"/>
            <w:hideMark/>
          </w:tcPr>
          <w:p>
            <w:pPr>
              <w:spacing w:before="0"/>
              <w:jc w:val="center"/>
              <w:rPr>
                <w:rFonts w:cs="Calibri"/>
                <w:color w:val="000000"/>
              </w:rPr>
            </w:pPr>
          </w:p>
        </w:tc>
        <w:tc>
          <w:tcPr>
            <w:tcW w:w="1843" w:type="dxa"/>
            <w:tcBorders>
              <w:top w:val="nil"/>
              <w:left w:val="nil"/>
              <w:bottom w:val="single" w:sz="4" w:space="0" w:color="auto"/>
              <w:right w:val="single" w:sz="4" w:space="0" w:color="auto"/>
            </w:tcBorders>
            <w:shd w:val="clear" w:color="auto" w:fill="auto"/>
            <w:noWrap/>
            <w:vAlign w:val="center"/>
            <w:hideMark/>
          </w:tcPr>
          <w:p>
            <w:pPr>
              <w:spacing w:before="0"/>
              <w:jc w:val="center"/>
              <w:rPr>
                <w:rFonts w:cs="Calibri"/>
                <w:color w:val="000000"/>
              </w:rPr>
            </w:pPr>
            <w:r>
              <w:rPr>
                <w:rFonts w:cs="Calibri"/>
                <w:color w:val="000000"/>
                <w:szCs w:val="22"/>
              </w:rPr>
              <w:t>Avaloir</w:t>
            </w:r>
          </w:p>
        </w:tc>
        <w:tc>
          <w:tcPr>
            <w:tcW w:w="567"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8</w:t>
            </w:r>
          </w:p>
        </w:tc>
        <w:tc>
          <w:tcPr>
            <w:tcW w:w="851"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2</w:t>
            </w:r>
          </w:p>
        </w:tc>
        <w:tc>
          <w:tcPr>
            <w:tcW w:w="850"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6</w:t>
            </w:r>
          </w:p>
        </w:tc>
        <w:tc>
          <w:tcPr>
            <w:tcW w:w="843"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1540</w:t>
            </w:r>
          </w:p>
        </w:tc>
        <w:tc>
          <w:tcPr>
            <w:tcW w:w="1142" w:type="dxa"/>
            <w:vMerge/>
            <w:tcBorders>
              <w:left w:val="single" w:sz="4" w:space="0" w:color="auto"/>
              <w:right w:val="single" w:sz="4" w:space="0" w:color="auto"/>
            </w:tcBorders>
            <w:shd w:val="clear" w:color="auto" w:fill="auto"/>
            <w:noWrap/>
            <w:vAlign w:val="center"/>
            <w:hideMark/>
          </w:tcPr>
          <w:p>
            <w:pPr>
              <w:spacing w:before="0"/>
              <w:jc w:val="center"/>
              <w:rPr>
                <w:rFonts w:cs="Calibri"/>
                <w:color w:val="000000"/>
                <w:szCs w:val="22"/>
              </w:rPr>
            </w:pPr>
          </w:p>
        </w:tc>
        <w:tc>
          <w:tcPr>
            <w:tcW w:w="1275" w:type="dxa"/>
            <w:vMerge/>
            <w:tcBorders>
              <w:left w:val="single" w:sz="4" w:space="0" w:color="auto"/>
              <w:right w:val="single" w:sz="4" w:space="0" w:color="auto"/>
            </w:tcBorders>
            <w:shd w:val="clear" w:color="auto" w:fill="auto"/>
            <w:noWrap/>
            <w:vAlign w:val="center"/>
            <w:hideMark/>
          </w:tcPr>
          <w:p>
            <w:pPr>
              <w:spacing w:before="0"/>
              <w:jc w:val="center"/>
              <w:rPr>
                <w:rFonts w:cs="Calibri"/>
                <w:color w:val="000000"/>
                <w:szCs w:val="22"/>
              </w:rPr>
            </w:pPr>
          </w:p>
        </w:tc>
      </w:tr>
      <w:tr>
        <w:trPr>
          <w:trHeight w:val="300"/>
        </w:trPr>
        <w:tc>
          <w:tcPr>
            <w:tcW w:w="1090" w:type="dxa"/>
            <w:vMerge/>
            <w:tcBorders>
              <w:left w:val="single" w:sz="4" w:space="0" w:color="auto"/>
              <w:right w:val="single" w:sz="4" w:space="0" w:color="auto"/>
            </w:tcBorders>
            <w:shd w:val="clear" w:color="auto" w:fill="auto"/>
            <w:vAlign w:val="center"/>
            <w:hideMark/>
          </w:tcPr>
          <w:p>
            <w:pPr>
              <w:spacing w:before="0"/>
              <w:jc w:val="center"/>
              <w:rPr>
                <w:rFonts w:cs="Calibri"/>
                <w:color w:val="000000"/>
              </w:rPr>
            </w:pPr>
          </w:p>
        </w:tc>
        <w:tc>
          <w:tcPr>
            <w:tcW w:w="1193" w:type="dxa"/>
            <w:vMerge/>
            <w:tcBorders>
              <w:left w:val="single" w:sz="4" w:space="0" w:color="auto"/>
              <w:right w:val="single" w:sz="4" w:space="0" w:color="auto"/>
            </w:tcBorders>
            <w:shd w:val="clear" w:color="auto" w:fill="auto"/>
            <w:noWrap/>
            <w:vAlign w:val="center"/>
            <w:hideMark/>
          </w:tcPr>
          <w:p>
            <w:pPr>
              <w:spacing w:before="0"/>
              <w:jc w:val="center"/>
              <w:rPr>
                <w:rFonts w:cs="Calibri"/>
                <w:color w:val="000000"/>
              </w:rPr>
            </w:pPr>
          </w:p>
        </w:tc>
        <w:tc>
          <w:tcPr>
            <w:tcW w:w="1843" w:type="dxa"/>
            <w:tcBorders>
              <w:top w:val="nil"/>
              <w:left w:val="nil"/>
              <w:bottom w:val="single" w:sz="4" w:space="0" w:color="auto"/>
              <w:right w:val="single" w:sz="4" w:space="0" w:color="auto"/>
            </w:tcBorders>
            <w:shd w:val="clear" w:color="auto" w:fill="auto"/>
            <w:noWrap/>
            <w:vAlign w:val="center"/>
            <w:hideMark/>
          </w:tcPr>
          <w:p>
            <w:pPr>
              <w:spacing w:before="0"/>
              <w:jc w:val="center"/>
              <w:rPr>
                <w:rFonts w:cs="Calibri"/>
                <w:color w:val="000000"/>
                <w:szCs w:val="22"/>
              </w:rPr>
            </w:pPr>
            <w:r>
              <w:rPr>
                <w:rFonts w:cs="Calibri"/>
                <w:color w:val="000000"/>
                <w:szCs w:val="22"/>
              </w:rPr>
              <w:t>Anomalie non identifiée</w:t>
            </w:r>
          </w:p>
        </w:tc>
        <w:tc>
          <w:tcPr>
            <w:tcW w:w="567"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11</w:t>
            </w:r>
          </w:p>
        </w:tc>
        <w:tc>
          <w:tcPr>
            <w:tcW w:w="851"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1</w:t>
            </w:r>
          </w:p>
        </w:tc>
        <w:tc>
          <w:tcPr>
            <w:tcW w:w="850"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10</w:t>
            </w:r>
          </w:p>
        </w:tc>
        <w:tc>
          <w:tcPr>
            <w:tcW w:w="843"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880</w:t>
            </w:r>
          </w:p>
        </w:tc>
        <w:tc>
          <w:tcPr>
            <w:tcW w:w="1142" w:type="dxa"/>
            <w:vMerge/>
            <w:tcBorders>
              <w:left w:val="single" w:sz="4" w:space="0" w:color="auto"/>
              <w:right w:val="single" w:sz="4" w:space="0" w:color="auto"/>
            </w:tcBorders>
            <w:shd w:val="clear" w:color="auto" w:fill="auto"/>
            <w:noWrap/>
            <w:vAlign w:val="center"/>
            <w:hideMark/>
          </w:tcPr>
          <w:p>
            <w:pPr>
              <w:spacing w:before="0"/>
              <w:jc w:val="center"/>
              <w:rPr>
                <w:rFonts w:cs="Calibri"/>
                <w:color w:val="000000"/>
                <w:szCs w:val="22"/>
              </w:rPr>
            </w:pPr>
          </w:p>
        </w:tc>
        <w:tc>
          <w:tcPr>
            <w:tcW w:w="1275" w:type="dxa"/>
            <w:vMerge/>
            <w:tcBorders>
              <w:left w:val="single" w:sz="4" w:space="0" w:color="auto"/>
              <w:right w:val="single" w:sz="4" w:space="0" w:color="auto"/>
            </w:tcBorders>
            <w:shd w:val="clear" w:color="auto" w:fill="auto"/>
            <w:noWrap/>
            <w:vAlign w:val="center"/>
            <w:hideMark/>
          </w:tcPr>
          <w:p>
            <w:pPr>
              <w:spacing w:before="0"/>
              <w:jc w:val="center"/>
              <w:rPr>
                <w:rFonts w:cs="Calibri"/>
                <w:color w:val="000000"/>
                <w:szCs w:val="22"/>
              </w:rPr>
            </w:pPr>
          </w:p>
        </w:tc>
      </w:tr>
      <w:tr>
        <w:trPr>
          <w:trHeight w:val="300"/>
        </w:trPr>
        <w:tc>
          <w:tcPr>
            <w:tcW w:w="1090" w:type="dxa"/>
            <w:vMerge/>
            <w:tcBorders>
              <w:left w:val="single" w:sz="4" w:space="0" w:color="auto"/>
              <w:right w:val="single" w:sz="4" w:space="0" w:color="auto"/>
            </w:tcBorders>
            <w:shd w:val="clear" w:color="auto" w:fill="auto"/>
            <w:vAlign w:val="center"/>
            <w:hideMark/>
          </w:tcPr>
          <w:p>
            <w:pPr>
              <w:spacing w:before="0"/>
              <w:jc w:val="center"/>
              <w:rPr>
                <w:rFonts w:cs="Calibri"/>
                <w:color w:val="000000"/>
              </w:rPr>
            </w:pPr>
          </w:p>
        </w:tc>
        <w:tc>
          <w:tcPr>
            <w:tcW w:w="1193" w:type="dxa"/>
            <w:vMerge/>
            <w:tcBorders>
              <w:left w:val="single" w:sz="4" w:space="0" w:color="auto"/>
              <w:right w:val="single" w:sz="4" w:space="0" w:color="auto"/>
            </w:tcBorders>
            <w:shd w:val="clear" w:color="auto" w:fill="auto"/>
            <w:noWrap/>
            <w:vAlign w:val="center"/>
            <w:hideMark/>
          </w:tcPr>
          <w:p>
            <w:pPr>
              <w:spacing w:before="0"/>
              <w:jc w:val="center"/>
              <w:rPr>
                <w:rFonts w:cs="Calibri"/>
                <w:color w:val="000000"/>
              </w:rPr>
            </w:pPr>
          </w:p>
        </w:tc>
        <w:tc>
          <w:tcPr>
            <w:tcW w:w="1843" w:type="dxa"/>
            <w:tcBorders>
              <w:top w:val="nil"/>
              <w:left w:val="nil"/>
              <w:bottom w:val="single" w:sz="4" w:space="0" w:color="auto"/>
              <w:right w:val="single" w:sz="4" w:space="0" w:color="auto"/>
            </w:tcBorders>
            <w:shd w:val="clear" w:color="auto" w:fill="auto"/>
            <w:noWrap/>
            <w:vAlign w:val="center"/>
            <w:hideMark/>
          </w:tcPr>
          <w:p>
            <w:pPr>
              <w:spacing w:before="0"/>
              <w:jc w:val="center"/>
              <w:rPr>
                <w:rFonts w:cs="Calibri"/>
                <w:color w:val="000000"/>
              </w:rPr>
            </w:pPr>
            <w:r>
              <w:rPr>
                <w:rFonts w:cs="Calibri"/>
                <w:color w:val="000000"/>
                <w:szCs w:val="22"/>
              </w:rPr>
              <w:t>Autres</w:t>
            </w:r>
          </w:p>
        </w:tc>
        <w:tc>
          <w:tcPr>
            <w:tcW w:w="567"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2</w:t>
            </w:r>
          </w:p>
        </w:tc>
        <w:tc>
          <w:tcPr>
            <w:tcW w:w="851"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1</w:t>
            </w:r>
          </w:p>
        </w:tc>
        <w:tc>
          <w:tcPr>
            <w:tcW w:w="850"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1</w:t>
            </w:r>
          </w:p>
        </w:tc>
        <w:tc>
          <w:tcPr>
            <w:tcW w:w="843"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160</w:t>
            </w:r>
          </w:p>
        </w:tc>
        <w:tc>
          <w:tcPr>
            <w:tcW w:w="1142" w:type="dxa"/>
            <w:vMerge/>
            <w:tcBorders>
              <w:left w:val="single" w:sz="4" w:space="0" w:color="auto"/>
              <w:right w:val="single" w:sz="4" w:space="0" w:color="auto"/>
            </w:tcBorders>
            <w:shd w:val="clear" w:color="auto" w:fill="auto"/>
            <w:noWrap/>
            <w:vAlign w:val="center"/>
            <w:hideMark/>
          </w:tcPr>
          <w:p>
            <w:pPr>
              <w:spacing w:before="0"/>
              <w:jc w:val="center"/>
              <w:rPr>
                <w:rFonts w:cs="Calibri"/>
                <w:color w:val="000000"/>
                <w:szCs w:val="22"/>
              </w:rPr>
            </w:pPr>
          </w:p>
        </w:tc>
        <w:tc>
          <w:tcPr>
            <w:tcW w:w="1275" w:type="dxa"/>
            <w:vMerge/>
            <w:tcBorders>
              <w:left w:val="single" w:sz="4" w:space="0" w:color="auto"/>
              <w:right w:val="single" w:sz="4" w:space="0" w:color="auto"/>
            </w:tcBorders>
            <w:shd w:val="clear" w:color="auto" w:fill="auto"/>
            <w:noWrap/>
            <w:vAlign w:val="center"/>
            <w:hideMark/>
          </w:tcPr>
          <w:p>
            <w:pPr>
              <w:spacing w:before="0"/>
              <w:jc w:val="center"/>
              <w:rPr>
                <w:rFonts w:cs="Calibri"/>
                <w:color w:val="000000"/>
                <w:szCs w:val="22"/>
              </w:rPr>
            </w:pPr>
          </w:p>
        </w:tc>
      </w:tr>
      <w:tr>
        <w:trPr>
          <w:trHeight w:val="300"/>
        </w:trPr>
        <w:tc>
          <w:tcPr>
            <w:tcW w:w="1090" w:type="dxa"/>
            <w:vMerge/>
            <w:tcBorders>
              <w:left w:val="single" w:sz="4" w:space="0" w:color="auto"/>
              <w:right w:val="single" w:sz="4" w:space="0" w:color="auto"/>
            </w:tcBorders>
            <w:shd w:val="clear" w:color="auto" w:fill="auto"/>
            <w:vAlign w:val="center"/>
            <w:hideMark/>
          </w:tcPr>
          <w:p>
            <w:pPr>
              <w:spacing w:before="0"/>
              <w:jc w:val="center"/>
              <w:rPr>
                <w:rFonts w:cs="Calibri"/>
                <w:color w:val="000000"/>
              </w:rPr>
            </w:pPr>
          </w:p>
        </w:tc>
        <w:tc>
          <w:tcPr>
            <w:tcW w:w="1193" w:type="dxa"/>
            <w:vMerge/>
            <w:tcBorders>
              <w:left w:val="single" w:sz="4" w:space="0" w:color="auto"/>
              <w:bottom w:val="single" w:sz="4" w:space="0" w:color="auto"/>
              <w:right w:val="single" w:sz="4" w:space="0" w:color="auto"/>
            </w:tcBorders>
            <w:shd w:val="clear" w:color="auto" w:fill="auto"/>
            <w:noWrap/>
            <w:vAlign w:val="center"/>
            <w:hideMark/>
          </w:tcPr>
          <w:p>
            <w:pPr>
              <w:spacing w:before="0"/>
              <w:jc w:val="center"/>
              <w:rPr>
                <w:rFonts w:cs="Calibri"/>
                <w:color w:val="000000"/>
              </w:rPr>
            </w:pPr>
          </w:p>
        </w:tc>
        <w:tc>
          <w:tcPr>
            <w:tcW w:w="1843" w:type="dxa"/>
            <w:tcBorders>
              <w:top w:val="nil"/>
              <w:left w:val="nil"/>
              <w:bottom w:val="single" w:sz="4" w:space="0" w:color="auto"/>
              <w:right w:val="single" w:sz="4" w:space="0" w:color="auto"/>
            </w:tcBorders>
            <w:shd w:val="clear" w:color="auto" w:fill="auto"/>
            <w:noWrap/>
            <w:vAlign w:val="center"/>
            <w:hideMark/>
          </w:tcPr>
          <w:p>
            <w:pPr>
              <w:spacing w:before="0"/>
              <w:jc w:val="center"/>
              <w:rPr>
                <w:rFonts w:cs="Calibri"/>
                <w:b/>
                <w:color w:val="000000"/>
              </w:rPr>
            </w:pPr>
            <w:r>
              <w:rPr>
                <w:rFonts w:cs="Calibri"/>
                <w:b/>
                <w:color w:val="000000"/>
              </w:rPr>
              <w:t>TOTAL</w:t>
            </w:r>
          </w:p>
        </w:tc>
        <w:tc>
          <w:tcPr>
            <w:tcW w:w="567"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b/>
                <w:bCs/>
                <w:color w:val="000000"/>
              </w:rPr>
            </w:pPr>
            <w:r>
              <w:rPr>
                <w:rFonts w:cs="Calibri"/>
                <w:b/>
                <w:bCs/>
                <w:color w:val="000000"/>
              </w:rPr>
              <w:t>139</w:t>
            </w:r>
          </w:p>
        </w:tc>
        <w:tc>
          <w:tcPr>
            <w:tcW w:w="851"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b/>
                <w:bCs/>
                <w:color w:val="000000"/>
              </w:rPr>
            </w:pPr>
            <w:r>
              <w:rPr>
                <w:rFonts w:cs="Calibri"/>
                <w:b/>
                <w:bCs/>
                <w:color w:val="000000"/>
              </w:rPr>
              <w:t>77</w:t>
            </w:r>
          </w:p>
        </w:tc>
        <w:tc>
          <w:tcPr>
            <w:tcW w:w="850"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b/>
                <w:bCs/>
                <w:color w:val="000000"/>
              </w:rPr>
            </w:pPr>
            <w:r>
              <w:rPr>
                <w:rFonts w:cs="Calibri"/>
                <w:b/>
                <w:bCs/>
                <w:color w:val="000000"/>
              </w:rPr>
              <w:t>62</w:t>
            </w:r>
          </w:p>
        </w:tc>
        <w:tc>
          <w:tcPr>
            <w:tcW w:w="843"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b/>
                <w:bCs/>
                <w:color w:val="000000"/>
              </w:rPr>
            </w:pPr>
            <w:r>
              <w:rPr>
                <w:rFonts w:cs="Calibri"/>
                <w:b/>
                <w:bCs/>
                <w:color w:val="000000"/>
              </w:rPr>
              <w:t>11035</w:t>
            </w:r>
          </w:p>
        </w:tc>
        <w:tc>
          <w:tcPr>
            <w:tcW w:w="1142" w:type="dxa"/>
            <w:vMerge/>
            <w:tcBorders>
              <w:left w:val="single" w:sz="4" w:space="0" w:color="auto"/>
              <w:bottom w:val="single" w:sz="4" w:space="0" w:color="auto"/>
              <w:right w:val="single" w:sz="4" w:space="0" w:color="auto"/>
            </w:tcBorders>
            <w:shd w:val="clear" w:color="auto" w:fill="auto"/>
            <w:noWrap/>
            <w:vAlign w:val="center"/>
            <w:hideMark/>
          </w:tcPr>
          <w:p>
            <w:pPr>
              <w:spacing w:before="0"/>
              <w:jc w:val="center"/>
              <w:rPr>
                <w:rFonts w:cs="Calibri"/>
                <w:color w:val="000000"/>
                <w:szCs w:val="22"/>
              </w:rPr>
            </w:pPr>
          </w:p>
        </w:tc>
        <w:tc>
          <w:tcPr>
            <w:tcW w:w="1275" w:type="dxa"/>
            <w:vMerge/>
            <w:tcBorders>
              <w:left w:val="single" w:sz="4" w:space="0" w:color="auto"/>
              <w:bottom w:val="single" w:sz="4" w:space="0" w:color="auto"/>
              <w:right w:val="single" w:sz="4" w:space="0" w:color="auto"/>
            </w:tcBorders>
            <w:shd w:val="clear" w:color="auto" w:fill="auto"/>
            <w:noWrap/>
            <w:vAlign w:val="center"/>
            <w:hideMark/>
          </w:tcPr>
          <w:p>
            <w:pPr>
              <w:spacing w:before="0"/>
              <w:jc w:val="center"/>
              <w:rPr>
                <w:rFonts w:cs="Calibri"/>
                <w:color w:val="000000"/>
                <w:szCs w:val="22"/>
              </w:rPr>
            </w:pPr>
          </w:p>
        </w:tc>
      </w:tr>
      <w:tr>
        <w:trPr>
          <w:trHeight w:val="300"/>
        </w:trPr>
        <w:tc>
          <w:tcPr>
            <w:tcW w:w="1090" w:type="dxa"/>
            <w:vMerge/>
            <w:tcBorders>
              <w:left w:val="single" w:sz="4" w:space="0" w:color="auto"/>
              <w:right w:val="single" w:sz="4" w:space="0" w:color="auto"/>
            </w:tcBorders>
            <w:shd w:val="clear" w:color="auto" w:fill="auto"/>
            <w:vAlign w:val="center"/>
            <w:hideMark/>
          </w:tcPr>
          <w:p>
            <w:pPr>
              <w:spacing w:before="0"/>
              <w:jc w:val="center"/>
              <w:rPr>
                <w:rFonts w:cs="Calibri"/>
                <w:color w:val="000000"/>
              </w:rPr>
            </w:pPr>
          </w:p>
        </w:tc>
        <w:tc>
          <w:tcPr>
            <w:tcW w:w="1193" w:type="dxa"/>
            <w:vMerge w:val="restart"/>
            <w:tcBorders>
              <w:top w:val="nil"/>
              <w:left w:val="single" w:sz="4" w:space="0" w:color="auto"/>
              <w:bottom w:val="single" w:sz="4" w:space="0" w:color="auto"/>
              <w:right w:val="single" w:sz="4" w:space="0" w:color="auto"/>
            </w:tcBorders>
            <w:shd w:val="clear" w:color="auto" w:fill="auto"/>
            <w:noWrap/>
            <w:vAlign w:val="center"/>
            <w:hideMark/>
          </w:tcPr>
          <w:p>
            <w:pPr>
              <w:spacing w:before="0"/>
              <w:jc w:val="center"/>
              <w:rPr>
                <w:rFonts w:cs="Calibri"/>
                <w:color w:val="000000"/>
              </w:rPr>
            </w:pPr>
            <w:r>
              <w:rPr>
                <w:rFonts w:cs="Calibri"/>
                <w:color w:val="000000"/>
                <w:szCs w:val="22"/>
              </w:rPr>
              <w:t>Secteur Mitra</w:t>
            </w:r>
          </w:p>
        </w:tc>
        <w:tc>
          <w:tcPr>
            <w:tcW w:w="1843" w:type="dxa"/>
            <w:tcBorders>
              <w:top w:val="nil"/>
              <w:left w:val="nil"/>
              <w:bottom w:val="single" w:sz="4" w:space="0" w:color="auto"/>
              <w:right w:val="single" w:sz="4" w:space="0" w:color="auto"/>
            </w:tcBorders>
            <w:shd w:val="clear" w:color="auto" w:fill="auto"/>
            <w:noWrap/>
            <w:vAlign w:val="center"/>
            <w:hideMark/>
          </w:tcPr>
          <w:p>
            <w:pPr>
              <w:spacing w:before="0"/>
              <w:jc w:val="center"/>
              <w:rPr>
                <w:rFonts w:cs="Calibri"/>
                <w:color w:val="000000"/>
              </w:rPr>
            </w:pPr>
            <w:r>
              <w:rPr>
                <w:rFonts w:cs="Calibri"/>
                <w:color w:val="000000"/>
                <w:szCs w:val="22"/>
              </w:rPr>
              <w:t>Regard</w:t>
            </w:r>
          </w:p>
        </w:tc>
        <w:tc>
          <w:tcPr>
            <w:tcW w:w="567"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1</w:t>
            </w:r>
          </w:p>
        </w:tc>
        <w:tc>
          <w:tcPr>
            <w:tcW w:w="851"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1</w:t>
            </w:r>
          </w:p>
        </w:tc>
        <w:tc>
          <w:tcPr>
            <w:tcW w:w="850"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0</w:t>
            </w:r>
          </w:p>
        </w:tc>
        <w:tc>
          <w:tcPr>
            <w:tcW w:w="843"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0</w:t>
            </w:r>
          </w:p>
        </w:tc>
        <w:tc>
          <w:tcPr>
            <w:tcW w:w="1142" w:type="dxa"/>
            <w:vMerge w:val="restart"/>
            <w:tcBorders>
              <w:top w:val="nil"/>
              <w:left w:val="single" w:sz="4" w:space="0" w:color="auto"/>
              <w:bottom w:val="single" w:sz="4" w:space="0" w:color="auto"/>
              <w:right w:val="single" w:sz="4" w:space="0" w:color="auto"/>
            </w:tcBorders>
            <w:shd w:val="clear" w:color="auto" w:fill="auto"/>
            <w:noWrap/>
            <w:vAlign w:val="center"/>
            <w:hideMark/>
          </w:tcPr>
          <w:p>
            <w:pPr>
              <w:spacing w:before="0"/>
              <w:jc w:val="center"/>
              <w:rPr>
                <w:rFonts w:cs="Calibri"/>
                <w:color w:val="000000"/>
              </w:rPr>
            </w:pPr>
            <w:r>
              <w:rPr>
                <w:rFonts w:cs="Calibri"/>
                <w:color w:val="000000"/>
                <w:szCs w:val="22"/>
              </w:rPr>
              <w:t>1165</w:t>
            </w:r>
          </w:p>
        </w:tc>
        <w:tc>
          <w:tcPr>
            <w:tcW w:w="1275" w:type="dxa"/>
            <w:vMerge w:val="restart"/>
            <w:tcBorders>
              <w:top w:val="nil"/>
              <w:left w:val="single" w:sz="4" w:space="0" w:color="auto"/>
              <w:bottom w:val="single" w:sz="4" w:space="0" w:color="auto"/>
              <w:right w:val="single" w:sz="4" w:space="0" w:color="auto"/>
            </w:tcBorders>
            <w:shd w:val="clear" w:color="auto" w:fill="auto"/>
            <w:noWrap/>
            <w:vAlign w:val="center"/>
            <w:hideMark/>
          </w:tcPr>
          <w:p>
            <w:pPr>
              <w:spacing w:before="0"/>
              <w:jc w:val="center"/>
              <w:rPr>
                <w:rFonts w:cs="Calibri"/>
                <w:color w:val="000000"/>
              </w:rPr>
            </w:pPr>
            <w:r>
              <w:rPr>
                <w:rFonts w:cs="Calibri"/>
                <w:color w:val="000000"/>
                <w:szCs w:val="22"/>
              </w:rPr>
              <w:t>2 013</w:t>
            </w:r>
          </w:p>
        </w:tc>
      </w:tr>
      <w:tr>
        <w:trPr>
          <w:trHeight w:val="300"/>
        </w:trPr>
        <w:tc>
          <w:tcPr>
            <w:tcW w:w="1090" w:type="dxa"/>
            <w:vMerge/>
            <w:tcBorders>
              <w:left w:val="single" w:sz="4" w:space="0" w:color="auto"/>
              <w:right w:val="single" w:sz="4" w:space="0" w:color="auto"/>
            </w:tcBorders>
            <w:shd w:val="clear" w:color="auto" w:fill="auto"/>
            <w:vAlign w:val="center"/>
            <w:hideMark/>
          </w:tcPr>
          <w:p>
            <w:pPr>
              <w:spacing w:before="0"/>
              <w:jc w:val="center"/>
              <w:rPr>
                <w:rFonts w:cs="Calibri"/>
                <w:color w:val="000000"/>
              </w:rPr>
            </w:pPr>
          </w:p>
        </w:tc>
        <w:tc>
          <w:tcPr>
            <w:tcW w:w="1193" w:type="dxa"/>
            <w:vMerge/>
            <w:tcBorders>
              <w:top w:val="nil"/>
              <w:left w:val="single" w:sz="4" w:space="0" w:color="auto"/>
              <w:bottom w:val="single" w:sz="4" w:space="0" w:color="auto"/>
              <w:right w:val="single" w:sz="4" w:space="0" w:color="auto"/>
            </w:tcBorders>
            <w:vAlign w:val="center"/>
            <w:hideMark/>
          </w:tcPr>
          <w:p>
            <w:pPr>
              <w:spacing w:before="0"/>
              <w:jc w:val="center"/>
              <w:rPr>
                <w:rFonts w:cs="Calibri"/>
                <w:color w:val="000000"/>
              </w:rPr>
            </w:pPr>
          </w:p>
        </w:tc>
        <w:tc>
          <w:tcPr>
            <w:tcW w:w="1843" w:type="dxa"/>
            <w:tcBorders>
              <w:top w:val="nil"/>
              <w:left w:val="nil"/>
              <w:bottom w:val="single" w:sz="4" w:space="0" w:color="auto"/>
              <w:right w:val="single" w:sz="4" w:space="0" w:color="auto"/>
            </w:tcBorders>
            <w:shd w:val="clear" w:color="auto" w:fill="auto"/>
            <w:noWrap/>
            <w:vAlign w:val="center"/>
            <w:hideMark/>
          </w:tcPr>
          <w:p>
            <w:pPr>
              <w:spacing w:before="0"/>
              <w:jc w:val="center"/>
              <w:rPr>
                <w:rFonts w:cs="Calibri"/>
                <w:color w:val="000000"/>
              </w:rPr>
            </w:pPr>
            <w:r>
              <w:rPr>
                <w:rFonts w:cs="Calibri"/>
                <w:color w:val="000000"/>
                <w:szCs w:val="22"/>
              </w:rPr>
              <w:t>Boite de branchement</w:t>
            </w:r>
          </w:p>
        </w:tc>
        <w:tc>
          <w:tcPr>
            <w:tcW w:w="567"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7</w:t>
            </w:r>
          </w:p>
        </w:tc>
        <w:tc>
          <w:tcPr>
            <w:tcW w:w="851"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5</w:t>
            </w:r>
          </w:p>
        </w:tc>
        <w:tc>
          <w:tcPr>
            <w:tcW w:w="850"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2</w:t>
            </w:r>
          </w:p>
        </w:tc>
        <w:tc>
          <w:tcPr>
            <w:tcW w:w="843"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145</w:t>
            </w:r>
          </w:p>
        </w:tc>
        <w:tc>
          <w:tcPr>
            <w:tcW w:w="1142" w:type="dxa"/>
            <w:vMerge/>
            <w:tcBorders>
              <w:top w:val="nil"/>
              <w:left w:val="single" w:sz="4" w:space="0" w:color="auto"/>
              <w:bottom w:val="single" w:sz="4" w:space="0" w:color="auto"/>
              <w:right w:val="single" w:sz="4" w:space="0" w:color="auto"/>
            </w:tcBorders>
            <w:vAlign w:val="center"/>
            <w:hideMark/>
          </w:tcPr>
          <w:p>
            <w:pPr>
              <w:spacing w:before="0"/>
              <w:jc w:val="center"/>
              <w:rPr>
                <w:rFonts w:cs="Calibri"/>
                <w:color w:val="000000"/>
              </w:rPr>
            </w:pPr>
          </w:p>
        </w:tc>
        <w:tc>
          <w:tcPr>
            <w:tcW w:w="1275" w:type="dxa"/>
            <w:vMerge/>
            <w:tcBorders>
              <w:top w:val="nil"/>
              <w:left w:val="single" w:sz="4" w:space="0" w:color="auto"/>
              <w:bottom w:val="single" w:sz="4" w:space="0" w:color="auto"/>
              <w:right w:val="single" w:sz="4" w:space="0" w:color="auto"/>
            </w:tcBorders>
            <w:vAlign w:val="center"/>
            <w:hideMark/>
          </w:tcPr>
          <w:p>
            <w:pPr>
              <w:spacing w:before="0"/>
              <w:jc w:val="center"/>
              <w:rPr>
                <w:rFonts w:cs="Calibri"/>
                <w:color w:val="000000"/>
              </w:rPr>
            </w:pPr>
          </w:p>
        </w:tc>
      </w:tr>
      <w:tr>
        <w:trPr>
          <w:trHeight w:val="300"/>
        </w:trPr>
        <w:tc>
          <w:tcPr>
            <w:tcW w:w="1090" w:type="dxa"/>
            <w:vMerge/>
            <w:tcBorders>
              <w:left w:val="single" w:sz="4" w:space="0" w:color="auto"/>
              <w:right w:val="single" w:sz="4" w:space="0" w:color="auto"/>
            </w:tcBorders>
            <w:shd w:val="clear" w:color="auto" w:fill="auto"/>
            <w:vAlign w:val="center"/>
            <w:hideMark/>
          </w:tcPr>
          <w:p>
            <w:pPr>
              <w:spacing w:before="0"/>
              <w:jc w:val="center"/>
              <w:rPr>
                <w:rFonts w:cs="Calibri"/>
                <w:color w:val="000000"/>
              </w:rPr>
            </w:pPr>
          </w:p>
        </w:tc>
        <w:tc>
          <w:tcPr>
            <w:tcW w:w="1193" w:type="dxa"/>
            <w:vMerge/>
            <w:tcBorders>
              <w:top w:val="nil"/>
              <w:left w:val="single" w:sz="4" w:space="0" w:color="auto"/>
              <w:bottom w:val="single" w:sz="4" w:space="0" w:color="auto"/>
              <w:right w:val="single" w:sz="4" w:space="0" w:color="auto"/>
            </w:tcBorders>
            <w:vAlign w:val="center"/>
            <w:hideMark/>
          </w:tcPr>
          <w:p>
            <w:pPr>
              <w:spacing w:before="0"/>
              <w:jc w:val="center"/>
              <w:rPr>
                <w:rFonts w:cs="Calibri"/>
                <w:color w:val="000000"/>
              </w:rPr>
            </w:pPr>
          </w:p>
        </w:tc>
        <w:tc>
          <w:tcPr>
            <w:tcW w:w="1843" w:type="dxa"/>
            <w:tcBorders>
              <w:top w:val="nil"/>
              <w:left w:val="nil"/>
              <w:bottom w:val="single" w:sz="4" w:space="0" w:color="auto"/>
              <w:right w:val="single" w:sz="4" w:space="0" w:color="auto"/>
            </w:tcBorders>
            <w:shd w:val="clear" w:color="auto" w:fill="auto"/>
            <w:noWrap/>
            <w:vAlign w:val="center"/>
            <w:hideMark/>
          </w:tcPr>
          <w:p>
            <w:pPr>
              <w:spacing w:before="0"/>
              <w:jc w:val="center"/>
              <w:rPr>
                <w:rFonts w:cs="Calibri"/>
                <w:color w:val="000000"/>
              </w:rPr>
            </w:pPr>
            <w:r>
              <w:rPr>
                <w:rFonts w:cs="Calibri"/>
                <w:color w:val="000000"/>
                <w:szCs w:val="22"/>
              </w:rPr>
              <w:t>Avaloir</w:t>
            </w:r>
          </w:p>
        </w:tc>
        <w:tc>
          <w:tcPr>
            <w:tcW w:w="567"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1</w:t>
            </w:r>
          </w:p>
        </w:tc>
        <w:tc>
          <w:tcPr>
            <w:tcW w:w="851"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0</w:t>
            </w:r>
          </w:p>
        </w:tc>
        <w:tc>
          <w:tcPr>
            <w:tcW w:w="850"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1</w:t>
            </w:r>
          </w:p>
        </w:tc>
        <w:tc>
          <w:tcPr>
            <w:tcW w:w="843"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1000</w:t>
            </w:r>
          </w:p>
        </w:tc>
        <w:tc>
          <w:tcPr>
            <w:tcW w:w="1142" w:type="dxa"/>
            <w:vMerge/>
            <w:tcBorders>
              <w:top w:val="nil"/>
              <w:left w:val="single" w:sz="4" w:space="0" w:color="auto"/>
              <w:bottom w:val="single" w:sz="4" w:space="0" w:color="auto"/>
              <w:right w:val="single" w:sz="4" w:space="0" w:color="auto"/>
            </w:tcBorders>
            <w:vAlign w:val="center"/>
            <w:hideMark/>
          </w:tcPr>
          <w:p>
            <w:pPr>
              <w:spacing w:before="0"/>
              <w:jc w:val="center"/>
              <w:rPr>
                <w:rFonts w:cs="Calibri"/>
                <w:color w:val="000000"/>
              </w:rPr>
            </w:pPr>
          </w:p>
        </w:tc>
        <w:tc>
          <w:tcPr>
            <w:tcW w:w="1275" w:type="dxa"/>
            <w:vMerge/>
            <w:tcBorders>
              <w:top w:val="nil"/>
              <w:left w:val="single" w:sz="4" w:space="0" w:color="auto"/>
              <w:bottom w:val="single" w:sz="4" w:space="0" w:color="auto"/>
              <w:right w:val="single" w:sz="4" w:space="0" w:color="auto"/>
            </w:tcBorders>
            <w:vAlign w:val="center"/>
            <w:hideMark/>
          </w:tcPr>
          <w:p>
            <w:pPr>
              <w:spacing w:before="0"/>
              <w:jc w:val="center"/>
              <w:rPr>
                <w:rFonts w:cs="Calibri"/>
                <w:color w:val="000000"/>
              </w:rPr>
            </w:pPr>
          </w:p>
        </w:tc>
      </w:tr>
      <w:tr>
        <w:trPr>
          <w:trHeight w:val="300"/>
        </w:trPr>
        <w:tc>
          <w:tcPr>
            <w:tcW w:w="1090" w:type="dxa"/>
            <w:vMerge/>
            <w:tcBorders>
              <w:left w:val="single" w:sz="4" w:space="0" w:color="auto"/>
              <w:right w:val="single" w:sz="4" w:space="0" w:color="auto"/>
            </w:tcBorders>
            <w:shd w:val="clear" w:color="auto" w:fill="auto"/>
            <w:vAlign w:val="center"/>
            <w:hideMark/>
          </w:tcPr>
          <w:p>
            <w:pPr>
              <w:spacing w:before="0"/>
              <w:jc w:val="center"/>
              <w:rPr>
                <w:rFonts w:cs="Calibri"/>
                <w:color w:val="000000"/>
              </w:rPr>
            </w:pPr>
          </w:p>
        </w:tc>
        <w:tc>
          <w:tcPr>
            <w:tcW w:w="1193" w:type="dxa"/>
            <w:vMerge/>
            <w:tcBorders>
              <w:top w:val="nil"/>
              <w:left w:val="single" w:sz="4" w:space="0" w:color="auto"/>
              <w:bottom w:val="single" w:sz="4" w:space="0" w:color="auto"/>
              <w:right w:val="single" w:sz="4" w:space="0" w:color="auto"/>
            </w:tcBorders>
            <w:vAlign w:val="center"/>
            <w:hideMark/>
          </w:tcPr>
          <w:p>
            <w:pPr>
              <w:spacing w:before="0"/>
              <w:jc w:val="center"/>
              <w:rPr>
                <w:rFonts w:cs="Calibri"/>
                <w:color w:val="000000"/>
              </w:rPr>
            </w:pPr>
          </w:p>
        </w:tc>
        <w:tc>
          <w:tcPr>
            <w:tcW w:w="1843" w:type="dxa"/>
            <w:tcBorders>
              <w:top w:val="nil"/>
              <w:left w:val="nil"/>
              <w:bottom w:val="single" w:sz="4" w:space="0" w:color="auto"/>
              <w:right w:val="single" w:sz="4" w:space="0" w:color="auto"/>
            </w:tcBorders>
            <w:shd w:val="clear" w:color="auto" w:fill="auto"/>
            <w:noWrap/>
            <w:vAlign w:val="center"/>
            <w:hideMark/>
          </w:tcPr>
          <w:p>
            <w:pPr>
              <w:spacing w:before="0"/>
              <w:jc w:val="center"/>
              <w:rPr>
                <w:rFonts w:cs="Calibri"/>
                <w:color w:val="000000"/>
              </w:rPr>
            </w:pPr>
            <w:r>
              <w:rPr>
                <w:rFonts w:cs="Calibri"/>
                <w:color w:val="000000"/>
                <w:szCs w:val="22"/>
              </w:rPr>
              <w:t>Autres</w:t>
            </w:r>
          </w:p>
        </w:tc>
        <w:tc>
          <w:tcPr>
            <w:tcW w:w="567"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1</w:t>
            </w:r>
          </w:p>
        </w:tc>
        <w:tc>
          <w:tcPr>
            <w:tcW w:w="851"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0</w:t>
            </w:r>
          </w:p>
        </w:tc>
        <w:tc>
          <w:tcPr>
            <w:tcW w:w="850"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1</w:t>
            </w:r>
          </w:p>
        </w:tc>
        <w:tc>
          <w:tcPr>
            <w:tcW w:w="843"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20</w:t>
            </w:r>
          </w:p>
        </w:tc>
        <w:tc>
          <w:tcPr>
            <w:tcW w:w="1142" w:type="dxa"/>
            <w:vMerge/>
            <w:tcBorders>
              <w:top w:val="nil"/>
              <w:left w:val="single" w:sz="4" w:space="0" w:color="auto"/>
              <w:bottom w:val="single" w:sz="4" w:space="0" w:color="auto"/>
              <w:right w:val="single" w:sz="4" w:space="0" w:color="auto"/>
            </w:tcBorders>
            <w:vAlign w:val="center"/>
            <w:hideMark/>
          </w:tcPr>
          <w:p>
            <w:pPr>
              <w:spacing w:before="0"/>
              <w:jc w:val="center"/>
              <w:rPr>
                <w:rFonts w:cs="Calibri"/>
                <w:color w:val="000000"/>
              </w:rPr>
            </w:pPr>
          </w:p>
        </w:tc>
        <w:tc>
          <w:tcPr>
            <w:tcW w:w="1275" w:type="dxa"/>
            <w:vMerge/>
            <w:tcBorders>
              <w:top w:val="nil"/>
              <w:left w:val="single" w:sz="4" w:space="0" w:color="auto"/>
              <w:bottom w:val="single" w:sz="4" w:space="0" w:color="auto"/>
              <w:right w:val="single" w:sz="4" w:space="0" w:color="auto"/>
            </w:tcBorders>
            <w:vAlign w:val="center"/>
            <w:hideMark/>
          </w:tcPr>
          <w:p>
            <w:pPr>
              <w:spacing w:before="0"/>
              <w:jc w:val="center"/>
              <w:rPr>
                <w:rFonts w:cs="Calibri"/>
                <w:color w:val="000000"/>
              </w:rPr>
            </w:pPr>
          </w:p>
        </w:tc>
      </w:tr>
      <w:tr>
        <w:trPr>
          <w:trHeight w:val="300"/>
        </w:trPr>
        <w:tc>
          <w:tcPr>
            <w:tcW w:w="1090" w:type="dxa"/>
            <w:vMerge/>
            <w:tcBorders>
              <w:left w:val="single" w:sz="4" w:space="0" w:color="auto"/>
              <w:right w:val="single" w:sz="4" w:space="0" w:color="auto"/>
            </w:tcBorders>
            <w:shd w:val="clear" w:color="auto" w:fill="auto"/>
            <w:vAlign w:val="center"/>
            <w:hideMark/>
          </w:tcPr>
          <w:p>
            <w:pPr>
              <w:spacing w:before="0"/>
              <w:jc w:val="center"/>
              <w:rPr>
                <w:rFonts w:cs="Calibri"/>
                <w:color w:val="000000"/>
              </w:rPr>
            </w:pPr>
          </w:p>
        </w:tc>
        <w:tc>
          <w:tcPr>
            <w:tcW w:w="1193" w:type="dxa"/>
            <w:vMerge/>
            <w:tcBorders>
              <w:top w:val="nil"/>
              <w:left w:val="single" w:sz="4" w:space="0" w:color="auto"/>
              <w:bottom w:val="single" w:sz="4" w:space="0" w:color="auto"/>
              <w:right w:val="single" w:sz="4" w:space="0" w:color="auto"/>
            </w:tcBorders>
            <w:vAlign w:val="center"/>
            <w:hideMark/>
          </w:tcPr>
          <w:p>
            <w:pPr>
              <w:spacing w:before="0"/>
              <w:jc w:val="center"/>
              <w:rPr>
                <w:rFonts w:cs="Calibri"/>
                <w:color w:val="000000"/>
              </w:rPr>
            </w:pPr>
          </w:p>
        </w:tc>
        <w:tc>
          <w:tcPr>
            <w:tcW w:w="1843" w:type="dxa"/>
            <w:tcBorders>
              <w:top w:val="nil"/>
              <w:left w:val="nil"/>
              <w:bottom w:val="single" w:sz="4" w:space="0" w:color="auto"/>
              <w:right w:val="single" w:sz="4" w:space="0" w:color="auto"/>
            </w:tcBorders>
            <w:shd w:val="clear" w:color="auto" w:fill="auto"/>
            <w:noWrap/>
            <w:vAlign w:val="center"/>
            <w:hideMark/>
          </w:tcPr>
          <w:p>
            <w:pPr>
              <w:spacing w:before="0"/>
              <w:jc w:val="center"/>
              <w:rPr>
                <w:rFonts w:cs="Calibri"/>
                <w:b/>
                <w:color w:val="000000"/>
              </w:rPr>
            </w:pPr>
            <w:r>
              <w:rPr>
                <w:rFonts w:cs="Calibri"/>
                <w:b/>
                <w:color w:val="000000"/>
              </w:rPr>
              <w:t>TOTAL</w:t>
            </w:r>
          </w:p>
        </w:tc>
        <w:tc>
          <w:tcPr>
            <w:tcW w:w="567"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b/>
                <w:bCs/>
                <w:color w:val="000000"/>
              </w:rPr>
            </w:pPr>
            <w:r>
              <w:rPr>
                <w:rFonts w:cs="Calibri"/>
                <w:b/>
                <w:bCs/>
                <w:color w:val="000000"/>
              </w:rPr>
              <w:t>10</w:t>
            </w:r>
          </w:p>
        </w:tc>
        <w:tc>
          <w:tcPr>
            <w:tcW w:w="851"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b/>
                <w:bCs/>
                <w:color w:val="000000"/>
              </w:rPr>
            </w:pPr>
            <w:r>
              <w:rPr>
                <w:rFonts w:cs="Calibri"/>
                <w:b/>
                <w:bCs/>
                <w:color w:val="000000"/>
              </w:rPr>
              <w:t>6</w:t>
            </w:r>
          </w:p>
        </w:tc>
        <w:tc>
          <w:tcPr>
            <w:tcW w:w="850"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b/>
                <w:bCs/>
                <w:color w:val="000000"/>
              </w:rPr>
            </w:pPr>
            <w:r>
              <w:rPr>
                <w:rFonts w:cs="Calibri"/>
                <w:b/>
                <w:bCs/>
                <w:color w:val="000000"/>
              </w:rPr>
              <w:t>4</w:t>
            </w:r>
          </w:p>
        </w:tc>
        <w:tc>
          <w:tcPr>
            <w:tcW w:w="843"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b/>
                <w:bCs/>
                <w:color w:val="000000"/>
              </w:rPr>
            </w:pPr>
            <w:r>
              <w:rPr>
                <w:rFonts w:cs="Calibri"/>
                <w:b/>
                <w:bCs/>
                <w:color w:val="000000"/>
              </w:rPr>
              <w:t>1165</w:t>
            </w:r>
          </w:p>
        </w:tc>
        <w:tc>
          <w:tcPr>
            <w:tcW w:w="1142" w:type="dxa"/>
            <w:vMerge/>
            <w:tcBorders>
              <w:top w:val="nil"/>
              <w:left w:val="single" w:sz="4" w:space="0" w:color="auto"/>
              <w:bottom w:val="single" w:sz="4" w:space="0" w:color="auto"/>
              <w:right w:val="single" w:sz="4" w:space="0" w:color="auto"/>
            </w:tcBorders>
            <w:vAlign w:val="center"/>
            <w:hideMark/>
          </w:tcPr>
          <w:p>
            <w:pPr>
              <w:spacing w:before="0"/>
              <w:jc w:val="center"/>
              <w:rPr>
                <w:rFonts w:cs="Calibri"/>
                <w:color w:val="000000"/>
              </w:rPr>
            </w:pPr>
          </w:p>
        </w:tc>
        <w:tc>
          <w:tcPr>
            <w:tcW w:w="1275" w:type="dxa"/>
            <w:vMerge/>
            <w:tcBorders>
              <w:top w:val="nil"/>
              <w:left w:val="single" w:sz="4" w:space="0" w:color="auto"/>
              <w:bottom w:val="single" w:sz="4" w:space="0" w:color="auto"/>
              <w:right w:val="single" w:sz="4" w:space="0" w:color="auto"/>
            </w:tcBorders>
            <w:vAlign w:val="center"/>
            <w:hideMark/>
          </w:tcPr>
          <w:p>
            <w:pPr>
              <w:spacing w:before="0"/>
              <w:jc w:val="center"/>
              <w:rPr>
                <w:rFonts w:cs="Calibri"/>
                <w:color w:val="000000"/>
              </w:rPr>
            </w:pPr>
          </w:p>
        </w:tc>
      </w:tr>
      <w:tr>
        <w:trPr>
          <w:trHeight w:val="300"/>
        </w:trPr>
        <w:tc>
          <w:tcPr>
            <w:tcW w:w="1090" w:type="dxa"/>
            <w:vMerge/>
            <w:tcBorders>
              <w:left w:val="single" w:sz="4" w:space="0" w:color="auto"/>
              <w:right w:val="single" w:sz="4" w:space="0" w:color="auto"/>
            </w:tcBorders>
            <w:shd w:val="clear" w:color="auto" w:fill="auto"/>
            <w:vAlign w:val="center"/>
            <w:hideMark/>
          </w:tcPr>
          <w:p>
            <w:pPr>
              <w:spacing w:before="0"/>
              <w:jc w:val="center"/>
              <w:rPr>
                <w:rFonts w:cs="Calibri"/>
                <w:color w:val="000000"/>
              </w:rPr>
            </w:pPr>
          </w:p>
        </w:tc>
        <w:tc>
          <w:tcPr>
            <w:tcW w:w="1193" w:type="dxa"/>
            <w:vMerge w:val="restart"/>
            <w:tcBorders>
              <w:top w:val="nil"/>
              <w:left w:val="single" w:sz="4" w:space="0" w:color="auto"/>
              <w:bottom w:val="single" w:sz="4" w:space="0" w:color="auto"/>
              <w:right w:val="single" w:sz="4" w:space="0" w:color="auto"/>
            </w:tcBorders>
            <w:shd w:val="clear" w:color="auto" w:fill="auto"/>
            <w:noWrap/>
            <w:vAlign w:val="center"/>
            <w:hideMark/>
          </w:tcPr>
          <w:p>
            <w:pPr>
              <w:spacing w:before="0"/>
              <w:jc w:val="center"/>
              <w:rPr>
                <w:rFonts w:cs="Calibri"/>
                <w:color w:val="000000"/>
              </w:rPr>
            </w:pPr>
            <w:r>
              <w:rPr>
                <w:rFonts w:cs="Calibri"/>
                <w:color w:val="000000"/>
                <w:szCs w:val="22"/>
              </w:rPr>
              <w:t>Secteur amont STEU</w:t>
            </w:r>
          </w:p>
        </w:tc>
        <w:tc>
          <w:tcPr>
            <w:tcW w:w="1843"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Regard</w:t>
            </w:r>
          </w:p>
        </w:tc>
        <w:tc>
          <w:tcPr>
            <w:tcW w:w="567"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1</w:t>
            </w:r>
          </w:p>
        </w:tc>
        <w:tc>
          <w:tcPr>
            <w:tcW w:w="851"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1</w:t>
            </w:r>
          </w:p>
        </w:tc>
        <w:tc>
          <w:tcPr>
            <w:tcW w:w="850"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0</w:t>
            </w:r>
          </w:p>
        </w:tc>
        <w:tc>
          <w:tcPr>
            <w:tcW w:w="843"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0</w:t>
            </w:r>
          </w:p>
        </w:tc>
        <w:tc>
          <w:tcPr>
            <w:tcW w:w="1142" w:type="dxa"/>
            <w:vMerge w:val="restart"/>
            <w:tcBorders>
              <w:top w:val="nil"/>
              <w:left w:val="single" w:sz="4" w:space="0" w:color="auto"/>
              <w:bottom w:val="single" w:sz="4" w:space="0" w:color="auto"/>
              <w:right w:val="single" w:sz="4" w:space="0" w:color="auto"/>
            </w:tcBorders>
            <w:shd w:val="clear" w:color="auto" w:fill="auto"/>
            <w:noWrap/>
            <w:vAlign w:val="center"/>
            <w:hideMark/>
          </w:tcPr>
          <w:p>
            <w:pPr>
              <w:spacing w:before="0"/>
              <w:jc w:val="center"/>
              <w:rPr>
                <w:rFonts w:cs="Calibri"/>
                <w:color w:val="000000"/>
              </w:rPr>
            </w:pPr>
            <w:r>
              <w:rPr>
                <w:rFonts w:cs="Calibri"/>
                <w:color w:val="000000"/>
                <w:szCs w:val="22"/>
              </w:rPr>
              <w:t>260</w:t>
            </w:r>
          </w:p>
        </w:tc>
        <w:tc>
          <w:tcPr>
            <w:tcW w:w="1275" w:type="dxa"/>
            <w:vMerge w:val="restart"/>
            <w:tcBorders>
              <w:top w:val="nil"/>
              <w:left w:val="single" w:sz="4" w:space="0" w:color="auto"/>
              <w:bottom w:val="single" w:sz="4" w:space="0" w:color="auto"/>
              <w:right w:val="single" w:sz="4" w:space="0" w:color="auto"/>
            </w:tcBorders>
            <w:shd w:val="clear" w:color="auto" w:fill="auto"/>
            <w:noWrap/>
            <w:vAlign w:val="center"/>
            <w:hideMark/>
          </w:tcPr>
          <w:p>
            <w:pPr>
              <w:spacing w:before="0"/>
              <w:jc w:val="center"/>
              <w:rPr>
                <w:rFonts w:cs="Calibri"/>
                <w:color w:val="000000"/>
              </w:rPr>
            </w:pPr>
            <w:r>
              <w:rPr>
                <w:rFonts w:cs="Calibri"/>
                <w:color w:val="000000"/>
                <w:szCs w:val="22"/>
              </w:rPr>
              <w:t>1 596</w:t>
            </w:r>
          </w:p>
        </w:tc>
      </w:tr>
      <w:tr>
        <w:trPr>
          <w:trHeight w:val="300"/>
        </w:trPr>
        <w:tc>
          <w:tcPr>
            <w:tcW w:w="1090" w:type="dxa"/>
            <w:vMerge/>
            <w:tcBorders>
              <w:left w:val="single" w:sz="4" w:space="0" w:color="auto"/>
              <w:right w:val="single" w:sz="4" w:space="0" w:color="auto"/>
            </w:tcBorders>
            <w:shd w:val="clear" w:color="auto" w:fill="auto"/>
            <w:vAlign w:val="center"/>
            <w:hideMark/>
          </w:tcPr>
          <w:p>
            <w:pPr>
              <w:spacing w:before="0"/>
              <w:jc w:val="center"/>
              <w:rPr>
                <w:rFonts w:cs="Calibri"/>
                <w:color w:val="000000"/>
              </w:rPr>
            </w:pPr>
          </w:p>
        </w:tc>
        <w:tc>
          <w:tcPr>
            <w:tcW w:w="1193" w:type="dxa"/>
            <w:vMerge/>
            <w:tcBorders>
              <w:top w:val="nil"/>
              <w:left w:val="single" w:sz="4" w:space="0" w:color="auto"/>
              <w:bottom w:val="single" w:sz="4" w:space="0" w:color="auto"/>
              <w:right w:val="single" w:sz="4" w:space="0" w:color="auto"/>
            </w:tcBorders>
            <w:vAlign w:val="center"/>
            <w:hideMark/>
          </w:tcPr>
          <w:p>
            <w:pPr>
              <w:spacing w:before="0"/>
              <w:jc w:val="center"/>
              <w:rPr>
                <w:rFonts w:cs="Calibri"/>
                <w:color w:val="000000"/>
              </w:rPr>
            </w:pPr>
          </w:p>
        </w:tc>
        <w:tc>
          <w:tcPr>
            <w:tcW w:w="1843"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Boite de branchement</w:t>
            </w:r>
          </w:p>
        </w:tc>
        <w:tc>
          <w:tcPr>
            <w:tcW w:w="567"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6</w:t>
            </w:r>
          </w:p>
        </w:tc>
        <w:tc>
          <w:tcPr>
            <w:tcW w:w="851"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5</w:t>
            </w:r>
          </w:p>
        </w:tc>
        <w:tc>
          <w:tcPr>
            <w:tcW w:w="850"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1</w:t>
            </w:r>
          </w:p>
        </w:tc>
        <w:tc>
          <w:tcPr>
            <w:tcW w:w="843"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210</w:t>
            </w:r>
          </w:p>
        </w:tc>
        <w:tc>
          <w:tcPr>
            <w:tcW w:w="1142" w:type="dxa"/>
            <w:vMerge/>
            <w:tcBorders>
              <w:top w:val="nil"/>
              <w:left w:val="single" w:sz="4" w:space="0" w:color="auto"/>
              <w:bottom w:val="single" w:sz="4" w:space="0" w:color="auto"/>
              <w:right w:val="single" w:sz="4" w:space="0" w:color="auto"/>
            </w:tcBorders>
            <w:vAlign w:val="center"/>
            <w:hideMark/>
          </w:tcPr>
          <w:p>
            <w:pPr>
              <w:spacing w:before="0"/>
              <w:jc w:val="center"/>
              <w:rPr>
                <w:rFonts w:cs="Calibri"/>
                <w:color w:val="000000"/>
              </w:rPr>
            </w:pPr>
          </w:p>
        </w:tc>
        <w:tc>
          <w:tcPr>
            <w:tcW w:w="1275" w:type="dxa"/>
            <w:vMerge/>
            <w:tcBorders>
              <w:top w:val="nil"/>
              <w:left w:val="single" w:sz="4" w:space="0" w:color="auto"/>
              <w:bottom w:val="single" w:sz="4" w:space="0" w:color="auto"/>
              <w:right w:val="single" w:sz="4" w:space="0" w:color="auto"/>
            </w:tcBorders>
            <w:vAlign w:val="center"/>
            <w:hideMark/>
          </w:tcPr>
          <w:p>
            <w:pPr>
              <w:spacing w:before="0"/>
              <w:jc w:val="center"/>
              <w:rPr>
                <w:rFonts w:cs="Calibri"/>
                <w:color w:val="000000"/>
              </w:rPr>
            </w:pPr>
          </w:p>
        </w:tc>
      </w:tr>
      <w:tr>
        <w:trPr>
          <w:trHeight w:val="300"/>
        </w:trPr>
        <w:tc>
          <w:tcPr>
            <w:tcW w:w="1090" w:type="dxa"/>
            <w:vMerge/>
            <w:tcBorders>
              <w:left w:val="single" w:sz="4" w:space="0" w:color="auto"/>
              <w:right w:val="single" w:sz="4" w:space="0" w:color="auto"/>
            </w:tcBorders>
            <w:shd w:val="clear" w:color="auto" w:fill="auto"/>
            <w:vAlign w:val="center"/>
            <w:hideMark/>
          </w:tcPr>
          <w:p>
            <w:pPr>
              <w:spacing w:before="0"/>
              <w:jc w:val="center"/>
              <w:rPr>
                <w:rFonts w:cs="Calibri"/>
                <w:color w:val="000000"/>
              </w:rPr>
            </w:pPr>
          </w:p>
        </w:tc>
        <w:tc>
          <w:tcPr>
            <w:tcW w:w="1193" w:type="dxa"/>
            <w:vMerge/>
            <w:tcBorders>
              <w:top w:val="nil"/>
              <w:left w:val="single" w:sz="4" w:space="0" w:color="auto"/>
              <w:bottom w:val="single" w:sz="4" w:space="0" w:color="auto"/>
              <w:right w:val="single" w:sz="4" w:space="0" w:color="auto"/>
            </w:tcBorders>
            <w:vAlign w:val="center"/>
            <w:hideMark/>
          </w:tcPr>
          <w:p>
            <w:pPr>
              <w:spacing w:before="0"/>
              <w:jc w:val="center"/>
              <w:rPr>
                <w:rFonts w:cs="Calibri"/>
                <w:color w:val="000000"/>
              </w:rPr>
            </w:pPr>
          </w:p>
        </w:tc>
        <w:tc>
          <w:tcPr>
            <w:tcW w:w="1843"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Anomalie non identifiée</w:t>
            </w:r>
          </w:p>
        </w:tc>
        <w:tc>
          <w:tcPr>
            <w:tcW w:w="567"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1</w:t>
            </w:r>
          </w:p>
        </w:tc>
        <w:tc>
          <w:tcPr>
            <w:tcW w:w="851"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0</w:t>
            </w:r>
          </w:p>
        </w:tc>
        <w:tc>
          <w:tcPr>
            <w:tcW w:w="850"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1</w:t>
            </w:r>
          </w:p>
        </w:tc>
        <w:tc>
          <w:tcPr>
            <w:tcW w:w="843"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50</w:t>
            </w:r>
          </w:p>
        </w:tc>
        <w:tc>
          <w:tcPr>
            <w:tcW w:w="1142" w:type="dxa"/>
            <w:vMerge/>
            <w:tcBorders>
              <w:top w:val="nil"/>
              <w:left w:val="single" w:sz="4" w:space="0" w:color="auto"/>
              <w:bottom w:val="single" w:sz="4" w:space="0" w:color="auto"/>
              <w:right w:val="single" w:sz="4" w:space="0" w:color="auto"/>
            </w:tcBorders>
            <w:vAlign w:val="center"/>
            <w:hideMark/>
          </w:tcPr>
          <w:p>
            <w:pPr>
              <w:spacing w:before="0"/>
              <w:jc w:val="center"/>
              <w:rPr>
                <w:rFonts w:cs="Calibri"/>
                <w:color w:val="000000"/>
              </w:rPr>
            </w:pPr>
          </w:p>
        </w:tc>
        <w:tc>
          <w:tcPr>
            <w:tcW w:w="1275" w:type="dxa"/>
            <w:vMerge/>
            <w:tcBorders>
              <w:top w:val="nil"/>
              <w:left w:val="single" w:sz="4" w:space="0" w:color="auto"/>
              <w:bottom w:val="single" w:sz="4" w:space="0" w:color="auto"/>
              <w:right w:val="single" w:sz="4" w:space="0" w:color="auto"/>
            </w:tcBorders>
            <w:vAlign w:val="center"/>
            <w:hideMark/>
          </w:tcPr>
          <w:p>
            <w:pPr>
              <w:spacing w:before="0"/>
              <w:jc w:val="center"/>
              <w:rPr>
                <w:rFonts w:cs="Calibri"/>
                <w:color w:val="000000"/>
              </w:rPr>
            </w:pPr>
          </w:p>
        </w:tc>
      </w:tr>
      <w:tr>
        <w:trPr>
          <w:trHeight w:val="300"/>
        </w:trPr>
        <w:tc>
          <w:tcPr>
            <w:tcW w:w="1090" w:type="dxa"/>
            <w:vMerge/>
            <w:tcBorders>
              <w:left w:val="single" w:sz="4" w:space="0" w:color="auto"/>
              <w:right w:val="single" w:sz="4" w:space="0" w:color="auto"/>
            </w:tcBorders>
            <w:shd w:val="clear" w:color="auto" w:fill="auto"/>
            <w:vAlign w:val="center"/>
            <w:hideMark/>
          </w:tcPr>
          <w:p>
            <w:pPr>
              <w:spacing w:before="0"/>
              <w:jc w:val="center"/>
              <w:rPr>
                <w:rFonts w:cs="Calibri"/>
                <w:color w:val="000000"/>
              </w:rPr>
            </w:pPr>
          </w:p>
        </w:tc>
        <w:tc>
          <w:tcPr>
            <w:tcW w:w="1193" w:type="dxa"/>
            <w:vMerge/>
            <w:tcBorders>
              <w:top w:val="nil"/>
              <w:left w:val="single" w:sz="4" w:space="0" w:color="auto"/>
              <w:bottom w:val="single" w:sz="4" w:space="0" w:color="auto"/>
              <w:right w:val="single" w:sz="4" w:space="0" w:color="auto"/>
            </w:tcBorders>
            <w:vAlign w:val="center"/>
            <w:hideMark/>
          </w:tcPr>
          <w:p>
            <w:pPr>
              <w:spacing w:before="0"/>
              <w:jc w:val="center"/>
              <w:rPr>
                <w:rFonts w:cs="Calibri"/>
                <w:color w:val="000000"/>
              </w:rPr>
            </w:pPr>
          </w:p>
        </w:tc>
        <w:tc>
          <w:tcPr>
            <w:tcW w:w="1843"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b/>
                <w:bCs/>
                <w:color w:val="000000"/>
              </w:rPr>
            </w:pPr>
            <w:r>
              <w:rPr>
                <w:rFonts w:cs="Calibri"/>
                <w:b/>
                <w:bCs/>
                <w:color w:val="000000"/>
              </w:rPr>
              <w:t>TOTAL</w:t>
            </w:r>
          </w:p>
        </w:tc>
        <w:tc>
          <w:tcPr>
            <w:tcW w:w="567"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b/>
                <w:bCs/>
                <w:color w:val="000000"/>
              </w:rPr>
            </w:pPr>
            <w:r>
              <w:rPr>
                <w:rFonts w:cs="Calibri"/>
                <w:b/>
                <w:bCs/>
                <w:color w:val="000000"/>
              </w:rPr>
              <w:t>8</w:t>
            </w:r>
          </w:p>
        </w:tc>
        <w:tc>
          <w:tcPr>
            <w:tcW w:w="851"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b/>
                <w:bCs/>
                <w:color w:val="000000"/>
              </w:rPr>
            </w:pPr>
            <w:r>
              <w:rPr>
                <w:rFonts w:cs="Calibri"/>
                <w:b/>
                <w:bCs/>
                <w:color w:val="000000"/>
              </w:rPr>
              <w:t>6</w:t>
            </w:r>
          </w:p>
        </w:tc>
        <w:tc>
          <w:tcPr>
            <w:tcW w:w="850"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b/>
                <w:bCs/>
                <w:color w:val="000000"/>
              </w:rPr>
            </w:pPr>
            <w:r>
              <w:rPr>
                <w:rFonts w:cs="Calibri"/>
                <w:b/>
                <w:bCs/>
                <w:color w:val="000000"/>
              </w:rPr>
              <w:t>2</w:t>
            </w:r>
          </w:p>
        </w:tc>
        <w:tc>
          <w:tcPr>
            <w:tcW w:w="843"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b/>
                <w:bCs/>
                <w:color w:val="000000"/>
              </w:rPr>
            </w:pPr>
            <w:r>
              <w:rPr>
                <w:rFonts w:cs="Calibri"/>
                <w:b/>
                <w:bCs/>
                <w:color w:val="000000"/>
              </w:rPr>
              <w:t>260</w:t>
            </w:r>
          </w:p>
        </w:tc>
        <w:tc>
          <w:tcPr>
            <w:tcW w:w="1142" w:type="dxa"/>
            <w:vMerge/>
            <w:tcBorders>
              <w:top w:val="nil"/>
              <w:left w:val="single" w:sz="4" w:space="0" w:color="auto"/>
              <w:bottom w:val="single" w:sz="4" w:space="0" w:color="auto"/>
              <w:right w:val="single" w:sz="4" w:space="0" w:color="auto"/>
            </w:tcBorders>
            <w:vAlign w:val="center"/>
            <w:hideMark/>
          </w:tcPr>
          <w:p>
            <w:pPr>
              <w:spacing w:before="0"/>
              <w:jc w:val="center"/>
              <w:rPr>
                <w:rFonts w:cs="Calibri"/>
                <w:color w:val="000000"/>
              </w:rPr>
            </w:pPr>
          </w:p>
        </w:tc>
        <w:tc>
          <w:tcPr>
            <w:tcW w:w="1275" w:type="dxa"/>
            <w:vMerge/>
            <w:tcBorders>
              <w:top w:val="nil"/>
              <w:left w:val="single" w:sz="4" w:space="0" w:color="auto"/>
              <w:bottom w:val="single" w:sz="4" w:space="0" w:color="auto"/>
              <w:right w:val="single" w:sz="4" w:space="0" w:color="auto"/>
            </w:tcBorders>
            <w:vAlign w:val="center"/>
            <w:hideMark/>
          </w:tcPr>
          <w:p>
            <w:pPr>
              <w:spacing w:before="0"/>
              <w:jc w:val="center"/>
              <w:rPr>
                <w:rFonts w:cs="Calibri"/>
                <w:color w:val="000000"/>
              </w:rPr>
            </w:pPr>
          </w:p>
        </w:tc>
      </w:tr>
      <w:tr>
        <w:trPr>
          <w:trHeight w:val="300"/>
        </w:trPr>
        <w:tc>
          <w:tcPr>
            <w:tcW w:w="1090" w:type="dxa"/>
            <w:vMerge/>
            <w:tcBorders>
              <w:left w:val="single" w:sz="4" w:space="0" w:color="auto"/>
              <w:right w:val="single" w:sz="4" w:space="0" w:color="auto"/>
            </w:tcBorders>
            <w:shd w:val="clear" w:color="auto" w:fill="auto"/>
            <w:vAlign w:val="center"/>
            <w:hideMark/>
          </w:tcPr>
          <w:p>
            <w:pPr>
              <w:spacing w:before="0"/>
              <w:jc w:val="center"/>
              <w:rPr>
                <w:rFonts w:cs="Calibri"/>
                <w:color w:val="000000"/>
              </w:rPr>
            </w:pPr>
          </w:p>
        </w:tc>
        <w:tc>
          <w:tcPr>
            <w:tcW w:w="1193" w:type="dxa"/>
            <w:vMerge w:val="restart"/>
            <w:tcBorders>
              <w:top w:val="nil"/>
              <w:left w:val="single" w:sz="4" w:space="0" w:color="auto"/>
              <w:bottom w:val="single" w:sz="4" w:space="0" w:color="auto"/>
              <w:right w:val="single" w:sz="4" w:space="0" w:color="auto"/>
            </w:tcBorders>
            <w:shd w:val="clear" w:color="auto" w:fill="auto"/>
            <w:noWrap/>
            <w:vAlign w:val="center"/>
            <w:hideMark/>
          </w:tcPr>
          <w:p>
            <w:pPr>
              <w:spacing w:before="0"/>
              <w:jc w:val="center"/>
              <w:rPr>
                <w:rFonts w:cs="Calibri"/>
                <w:color w:val="000000"/>
              </w:rPr>
            </w:pPr>
            <w:r>
              <w:rPr>
                <w:rFonts w:cs="Calibri"/>
                <w:color w:val="000000"/>
                <w:szCs w:val="22"/>
              </w:rPr>
              <w:t>Total</w:t>
            </w:r>
          </w:p>
        </w:tc>
        <w:tc>
          <w:tcPr>
            <w:tcW w:w="1843" w:type="dxa"/>
            <w:tcBorders>
              <w:top w:val="nil"/>
              <w:left w:val="nil"/>
              <w:bottom w:val="single" w:sz="4" w:space="0" w:color="auto"/>
              <w:right w:val="single" w:sz="4" w:space="0" w:color="auto"/>
            </w:tcBorders>
            <w:shd w:val="clear" w:color="auto" w:fill="auto"/>
            <w:noWrap/>
            <w:vAlign w:val="center"/>
            <w:hideMark/>
          </w:tcPr>
          <w:p>
            <w:pPr>
              <w:spacing w:before="0"/>
              <w:jc w:val="center"/>
              <w:rPr>
                <w:rFonts w:cs="Calibri"/>
                <w:color w:val="000000"/>
              </w:rPr>
            </w:pPr>
            <w:r>
              <w:rPr>
                <w:rFonts w:cs="Calibri"/>
                <w:color w:val="000000"/>
                <w:szCs w:val="22"/>
              </w:rPr>
              <w:t>Regard</w:t>
            </w:r>
          </w:p>
        </w:tc>
        <w:tc>
          <w:tcPr>
            <w:tcW w:w="567"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39</w:t>
            </w:r>
          </w:p>
        </w:tc>
        <w:tc>
          <w:tcPr>
            <w:tcW w:w="851"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22</w:t>
            </w:r>
          </w:p>
        </w:tc>
        <w:tc>
          <w:tcPr>
            <w:tcW w:w="850"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17</w:t>
            </w:r>
          </w:p>
        </w:tc>
        <w:tc>
          <w:tcPr>
            <w:tcW w:w="843"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2435</w:t>
            </w:r>
          </w:p>
        </w:tc>
        <w:tc>
          <w:tcPr>
            <w:tcW w:w="1142" w:type="dxa"/>
            <w:vMerge w:val="restart"/>
            <w:tcBorders>
              <w:top w:val="nil"/>
              <w:left w:val="single" w:sz="4" w:space="0" w:color="auto"/>
              <w:bottom w:val="single" w:sz="4" w:space="0" w:color="auto"/>
              <w:right w:val="single" w:sz="4" w:space="0" w:color="auto"/>
            </w:tcBorders>
            <w:shd w:val="clear" w:color="auto" w:fill="auto"/>
            <w:vAlign w:val="center"/>
            <w:hideMark/>
          </w:tcPr>
          <w:p>
            <w:pPr>
              <w:spacing w:before="0"/>
              <w:jc w:val="center"/>
              <w:rPr>
                <w:rFonts w:cs="Calibri"/>
                <w:color w:val="000000"/>
              </w:rPr>
            </w:pPr>
            <w:r>
              <w:rPr>
                <w:rFonts w:cs="Calibri"/>
                <w:color w:val="000000"/>
                <w:szCs w:val="22"/>
              </w:rPr>
              <w:t>14490</w:t>
            </w:r>
          </w:p>
        </w:tc>
        <w:tc>
          <w:tcPr>
            <w:tcW w:w="1275" w:type="dxa"/>
            <w:vMerge w:val="restart"/>
            <w:tcBorders>
              <w:top w:val="nil"/>
              <w:left w:val="single" w:sz="4" w:space="0" w:color="auto"/>
              <w:bottom w:val="single" w:sz="4" w:space="0" w:color="auto"/>
              <w:right w:val="single" w:sz="4" w:space="0" w:color="auto"/>
            </w:tcBorders>
            <w:shd w:val="clear" w:color="auto" w:fill="auto"/>
            <w:vAlign w:val="center"/>
            <w:hideMark/>
          </w:tcPr>
          <w:p>
            <w:pPr>
              <w:spacing w:before="0"/>
              <w:jc w:val="center"/>
              <w:rPr>
                <w:rFonts w:cs="Calibri"/>
                <w:color w:val="000000"/>
              </w:rPr>
            </w:pPr>
            <w:r>
              <w:rPr>
                <w:rFonts w:cs="Calibri"/>
                <w:color w:val="000000"/>
                <w:szCs w:val="22"/>
              </w:rPr>
              <w:t>21 550</w:t>
            </w:r>
          </w:p>
        </w:tc>
      </w:tr>
      <w:tr>
        <w:trPr>
          <w:trHeight w:val="300"/>
        </w:trPr>
        <w:tc>
          <w:tcPr>
            <w:tcW w:w="1090" w:type="dxa"/>
            <w:vMerge/>
            <w:tcBorders>
              <w:left w:val="single" w:sz="4" w:space="0" w:color="auto"/>
              <w:right w:val="single" w:sz="4" w:space="0" w:color="auto"/>
            </w:tcBorders>
            <w:shd w:val="clear" w:color="auto" w:fill="auto"/>
            <w:vAlign w:val="center"/>
            <w:hideMark/>
          </w:tcPr>
          <w:p>
            <w:pPr>
              <w:spacing w:before="0"/>
              <w:jc w:val="center"/>
              <w:rPr>
                <w:rFonts w:cs="Calibri"/>
                <w:color w:val="000000"/>
              </w:rPr>
            </w:pPr>
          </w:p>
        </w:tc>
        <w:tc>
          <w:tcPr>
            <w:tcW w:w="1193" w:type="dxa"/>
            <w:vMerge/>
            <w:tcBorders>
              <w:top w:val="nil"/>
              <w:left w:val="single" w:sz="4" w:space="0" w:color="auto"/>
              <w:bottom w:val="single" w:sz="4" w:space="0" w:color="auto"/>
              <w:right w:val="single" w:sz="4" w:space="0" w:color="auto"/>
            </w:tcBorders>
            <w:vAlign w:val="center"/>
            <w:hideMark/>
          </w:tcPr>
          <w:p>
            <w:pPr>
              <w:spacing w:before="0"/>
              <w:jc w:val="center"/>
              <w:rPr>
                <w:rFonts w:cs="Calibri"/>
                <w:color w:val="000000"/>
              </w:rPr>
            </w:pPr>
          </w:p>
        </w:tc>
        <w:tc>
          <w:tcPr>
            <w:tcW w:w="1843" w:type="dxa"/>
            <w:tcBorders>
              <w:top w:val="nil"/>
              <w:left w:val="nil"/>
              <w:bottom w:val="single" w:sz="4" w:space="0" w:color="auto"/>
              <w:right w:val="single" w:sz="4" w:space="0" w:color="auto"/>
            </w:tcBorders>
            <w:shd w:val="clear" w:color="auto" w:fill="auto"/>
            <w:noWrap/>
            <w:vAlign w:val="center"/>
            <w:hideMark/>
          </w:tcPr>
          <w:p>
            <w:pPr>
              <w:spacing w:before="0"/>
              <w:jc w:val="center"/>
              <w:rPr>
                <w:rFonts w:cs="Calibri"/>
                <w:color w:val="000000"/>
              </w:rPr>
            </w:pPr>
            <w:r>
              <w:rPr>
                <w:rFonts w:cs="Calibri"/>
                <w:color w:val="000000"/>
                <w:szCs w:val="22"/>
              </w:rPr>
              <w:t>Boite de branchement</w:t>
            </w:r>
          </w:p>
        </w:tc>
        <w:tc>
          <w:tcPr>
            <w:tcW w:w="567"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rPr>
              <w:t>127</w:t>
            </w:r>
          </w:p>
        </w:tc>
        <w:tc>
          <w:tcPr>
            <w:tcW w:w="851"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rPr>
              <w:t>85</w:t>
            </w:r>
          </w:p>
        </w:tc>
        <w:tc>
          <w:tcPr>
            <w:tcW w:w="850"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35</w:t>
            </w:r>
          </w:p>
        </w:tc>
        <w:tc>
          <w:tcPr>
            <w:tcW w:w="843"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7115</w:t>
            </w:r>
          </w:p>
        </w:tc>
        <w:tc>
          <w:tcPr>
            <w:tcW w:w="1142" w:type="dxa"/>
            <w:vMerge/>
            <w:tcBorders>
              <w:top w:val="nil"/>
              <w:left w:val="single" w:sz="4" w:space="0" w:color="auto"/>
              <w:bottom w:val="single" w:sz="4" w:space="0" w:color="auto"/>
              <w:right w:val="single" w:sz="4" w:space="0" w:color="auto"/>
            </w:tcBorders>
            <w:vAlign w:val="center"/>
            <w:hideMark/>
          </w:tcPr>
          <w:p>
            <w:pPr>
              <w:spacing w:before="0"/>
              <w:jc w:val="center"/>
              <w:rPr>
                <w:rFonts w:cs="Calibri"/>
                <w:color w:val="000000"/>
              </w:rPr>
            </w:pPr>
          </w:p>
        </w:tc>
        <w:tc>
          <w:tcPr>
            <w:tcW w:w="1275" w:type="dxa"/>
            <w:vMerge/>
            <w:tcBorders>
              <w:top w:val="nil"/>
              <w:left w:val="single" w:sz="4" w:space="0" w:color="auto"/>
              <w:bottom w:val="single" w:sz="4" w:space="0" w:color="auto"/>
              <w:right w:val="single" w:sz="4" w:space="0" w:color="auto"/>
            </w:tcBorders>
            <w:vAlign w:val="center"/>
            <w:hideMark/>
          </w:tcPr>
          <w:p>
            <w:pPr>
              <w:spacing w:before="0"/>
              <w:jc w:val="center"/>
              <w:rPr>
                <w:rFonts w:cs="Calibri"/>
                <w:color w:val="000000"/>
              </w:rPr>
            </w:pPr>
          </w:p>
        </w:tc>
      </w:tr>
      <w:tr>
        <w:trPr>
          <w:trHeight w:val="300"/>
        </w:trPr>
        <w:tc>
          <w:tcPr>
            <w:tcW w:w="1090" w:type="dxa"/>
            <w:vMerge/>
            <w:tcBorders>
              <w:left w:val="single" w:sz="4" w:space="0" w:color="auto"/>
              <w:right w:val="single" w:sz="4" w:space="0" w:color="auto"/>
            </w:tcBorders>
            <w:shd w:val="clear" w:color="auto" w:fill="auto"/>
            <w:vAlign w:val="center"/>
            <w:hideMark/>
          </w:tcPr>
          <w:p>
            <w:pPr>
              <w:spacing w:before="0"/>
              <w:jc w:val="center"/>
              <w:rPr>
                <w:rFonts w:cs="Calibri"/>
                <w:color w:val="000000"/>
              </w:rPr>
            </w:pPr>
          </w:p>
        </w:tc>
        <w:tc>
          <w:tcPr>
            <w:tcW w:w="1193" w:type="dxa"/>
            <w:vMerge/>
            <w:tcBorders>
              <w:top w:val="nil"/>
              <w:left w:val="single" w:sz="4" w:space="0" w:color="auto"/>
              <w:bottom w:val="single" w:sz="4" w:space="0" w:color="auto"/>
              <w:right w:val="single" w:sz="4" w:space="0" w:color="auto"/>
            </w:tcBorders>
            <w:vAlign w:val="center"/>
            <w:hideMark/>
          </w:tcPr>
          <w:p>
            <w:pPr>
              <w:spacing w:before="0"/>
              <w:jc w:val="center"/>
              <w:rPr>
                <w:rFonts w:cs="Calibri"/>
                <w:color w:val="000000"/>
              </w:rPr>
            </w:pPr>
          </w:p>
        </w:tc>
        <w:tc>
          <w:tcPr>
            <w:tcW w:w="1843" w:type="dxa"/>
            <w:tcBorders>
              <w:top w:val="nil"/>
              <w:left w:val="nil"/>
              <w:bottom w:val="single" w:sz="4" w:space="0" w:color="auto"/>
              <w:right w:val="single" w:sz="4" w:space="0" w:color="auto"/>
            </w:tcBorders>
            <w:shd w:val="clear" w:color="auto" w:fill="auto"/>
            <w:noWrap/>
            <w:vAlign w:val="center"/>
            <w:hideMark/>
          </w:tcPr>
          <w:p>
            <w:pPr>
              <w:spacing w:before="0"/>
              <w:jc w:val="center"/>
              <w:rPr>
                <w:rFonts w:cs="Calibri"/>
                <w:color w:val="000000"/>
              </w:rPr>
            </w:pPr>
            <w:r>
              <w:rPr>
                <w:rFonts w:cs="Calibri"/>
                <w:color w:val="000000"/>
                <w:szCs w:val="22"/>
              </w:rPr>
              <w:t>Gouttière</w:t>
            </w:r>
          </w:p>
        </w:tc>
        <w:tc>
          <w:tcPr>
            <w:tcW w:w="567"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16</w:t>
            </w:r>
          </w:p>
        </w:tc>
        <w:tc>
          <w:tcPr>
            <w:tcW w:w="851"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0</w:t>
            </w:r>
          </w:p>
        </w:tc>
        <w:tc>
          <w:tcPr>
            <w:tcW w:w="850"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16</w:t>
            </w:r>
          </w:p>
        </w:tc>
        <w:tc>
          <w:tcPr>
            <w:tcW w:w="843"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880</w:t>
            </w:r>
          </w:p>
        </w:tc>
        <w:tc>
          <w:tcPr>
            <w:tcW w:w="1142" w:type="dxa"/>
            <w:vMerge/>
            <w:tcBorders>
              <w:top w:val="nil"/>
              <w:left w:val="single" w:sz="4" w:space="0" w:color="auto"/>
              <w:bottom w:val="single" w:sz="4" w:space="0" w:color="auto"/>
              <w:right w:val="single" w:sz="4" w:space="0" w:color="auto"/>
            </w:tcBorders>
            <w:vAlign w:val="center"/>
            <w:hideMark/>
          </w:tcPr>
          <w:p>
            <w:pPr>
              <w:spacing w:before="0"/>
              <w:jc w:val="center"/>
              <w:rPr>
                <w:rFonts w:cs="Calibri"/>
                <w:color w:val="000000"/>
              </w:rPr>
            </w:pPr>
          </w:p>
        </w:tc>
        <w:tc>
          <w:tcPr>
            <w:tcW w:w="1275" w:type="dxa"/>
            <w:vMerge/>
            <w:tcBorders>
              <w:top w:val="nil"/>
              <w:left w:val="single" w:sz="4" w:space="0" w:color="auto"/>
              <w:bottom w:val="single" w:sz="4" w:space="0" w:color="auto"/>
              <w:right w:val="single" w:sz="4" w:space="0" w:color="auto"/>
            </w:tcBorders>
            <w:vAlign w:val="center"/>
            <w:hideMark/>
          </w:tcPr>
          <w:p>
            <w:pPr>
              <w:spacing w:before="0"/>
              <w:jc w:val="center"/>
              <w:rPr>
                <w:rFonts w:cs="Calibri"/>
                <w:color w:val="000000"/>
              </w:rPr>
            </w:pPr>
          </w:p>
        </w:tc>
      </w:tr>
      <w:tr>
        <w:trPr>
          <w:trHeight w:val="300"/>
        </w:trPr>
        <w:tc>
          <w:tcPr>
            <w:tcW w:w="1090" w:type="dxa"/>
            <w:vMerge/>
            <w:tcBorders>
              <w:left w:val="single" w:sz="4" w:space="0" w:color="auto"/>
              <w:right w:val="single" w:sz="4" w:space="0" w:color="auto"/>
            </w:tcBorders>
            <w:shd w:val="clear" w:color="auto" w:fill="auto"/>
            <w:vAlign w:val="center"/>
            <w:hideMark/>
          </w:tcPr>
          <w:p>
            <w:pPr>
              <w:spacing w:before="0"/>
              <w:jc w:val="center"/>
              <w:rPr>
                <w:rFonts w:cs="Calibri"/>
                <w:color w:val="000000"/>
              </w:rPr>
            </w:pPr>
          </w:p>
        </w:tc>
        <w:tc>
          <w:tcPr>
            <w:tcW w:w="1193" w:type="dxa"/>
            <w:vMerge/>
            <w:tcBorders>
              <w:top w:val="nil"/>
              <w:left w:val="single" w:sz="4" w:space="0" w:color="auto"/>
              <w:bottom w:val="single" w:sz="4" w:space="0" w:color="auto"/>
              <w:right w:val="single" w:sz="4" w:space="0" w:color="auto"/>
            </w:tcBorders>
            <w:vAlign w:val="center"/>
            <w:hideMark/>
          </w:tcPr>
          <w:p>
            <w:pPr>
              <w:spacing w:before="0"/>
              <w:jc w:val="center"/>
              <w:rPr>
                <w:rFonts w:cs="Calibri"/>
                <w:color w:val="000000"/>
              </w:rPr>
            </w:pPr>
          </w:p>
        </w:tc>
        <w:tc>
          <w:tcPr>
            <w:tcW w:w="1843" w:type="dxa"/>
            <w:tcBorders>
              <w:top w:val="nil"/>
              <w:left w:val="nil"/>
              <w:bottom w:val="single" w:sz="4" w:space="0" w:color="auto"/>
              <w:right w:val="single" w:sz="4" w:space="0" w:color="auto"/>
            </w:tcBorders>
            <w:shd w:val="clear" w:color="auto" w:fill="auto"/>
            <w:noWrap/>
            <w:vAlign w:val="center"/>
            <w:hideMark/>
          </w:tcPr>
          <w:p>
            <w:pPr>
              <w:spacing w:before="0"/>
              <w:jc w:val="center"/>
              <w:rPr>
                <w:rFonts w:cs="Calibri"/>
                <w:color w:val="000000"/>
              </w:rPr>
            </w:pPr>
            <w:r>
              <w:rPr>
                <w:rFonts w:cs="Calibri"/>
                <w:color w:val="000000"/>
                <w:szCs w:val="22"/>
              </w:rPr>
              <w:t>Avaloir</w:t>
            </w:r>
          </w:p>
        </w:tc>
        <w:tc>
          <w:tcPr>
            <w:tcW w:w="567"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9</w:t>
            </w:r>
          </w:p>
        </w:tc>
        <w:tc>
          <w:tcPr>
            <w:tcW w:w="851"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2</w:t>
            </w:r>
          </w:p>
        </w:tc>
        <w:tc>
          <w:tcPr>
            <w:tcW w:w="850"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7</w:t>
            </w:r>
          </w:p>
        </w:tc>
        <w:tc>
          <w:tcPr>
            <w:tcW w:w="843"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2540</w:t>
            </w:r>
          </w:p>
        </w:tc>
        <w:tc>
          <w:tcPr>
            <w:tcW w:w="1142" w:type="dxa"/>
            <w:vMerge/>
            <w:tcBorders>
              <w:top w:val="nil"/>
              <w:left w:val="single" w:sz="4" w:space="0" w:color="auto"/>
              <w:bottom w:val="single" w:sz="4" w:space="0" w:color="auto"/>
              <w:right w:val="single" w:sz="4" w:space="0" w:color="auto"/>
            </w:tcBorders>
            <w:vAlign w:val="center"/>
            <w:hideMark/>
          </w:tcPr>
          <w:p>
            <w:pPr>
              <w:spacing w:before="0"/>
              <w:jc w:val="center"/>
              <w:rPr>
                <w:rFonts w:cs="Calibri"/>
                <w:color w:val="000000"/>
              </w:rPr>
            </w:pPr>
          </w:p>
        </w:tc>
        <w:tc>
          <w:tcPr>
            <w:tcW w:w="1275" w:type="dxa"/>
            <w:vMerge/>
            <w:tcBorders>
              <w:top w:val="nil"/>
              <w:left w:val="single" w:sz="4" w:space="0" w:color="auto"/>
              <w:bottom w:val="single" w:sz="4" w:space="0" w:color="auto"/>
              <w:right w:val="single" w:sz="4" w:space="0" w:color="auto"/>
            </w:tcBorders>
            <w:vAlign w:val="center"/>
            <w:hideMark/>
          </w:tcPr>
          <w:p>
            <w:pPr>
              <w:spacing w:before="0"/>
              <w:jc w:val="center"/>
              <w:rPr>
                <w:rFonts w:cs="Calibri"/>
                <w:color w:val="000000"/>
              </w:rPr>
            </w:pPr>
          </w:p>
        </w:tc>
      </w:tr>
      <w:tr>
        <w:trPr>
          <w:trHeight w:val="300"/>
        </w:trPr>
        <w:tc>
          <w:tcPr>
            <w:tcW w:w="1090" w:type="dxa"/>
            <w:vMerge/>
            <w:tcBorders>
              <w:left w:val="single" w:sz="4" w:space="0" w:color="auto"/>
              <w:right w:val="single" w:sz="4" w:space="0" w:color="auto"/>
            </w:tcBorders>
            <w:shd w:val="clear" w:color="auto" w:fill="auto"/>
            <w:vAlign w:val="center"/>
            <w:hideMark/>
          </w:tcPr>
          <w:p>
            <w:pPr>
              <w:spacing w:before="0"/>
              <w:jc w:val="center"/>
              <w:rPr>
                <w:rFonts w:cs="Calibri"/>
                <w:color w:val="000000"/>
              </w:rPr>
            </w:pPr>
          </w:p>
        </w:tc>
        <w:tc>
          <w:tcPr>
            <w:tcW w:w="1193" w:type="dxa"/>
            <w:vMerge/>
            <w:tcBorders>
              <w:top w:val="nil"/>
              <w:left w:val="single" w:sz="4" w:space="0" w:color="auto"/>
              <w:bottom w:val="single" w:sz="4" w:space="0" w:color="auto"/>
              <w:right w:val="single" w:sz="4" w:space="0" w:color="auto"/>
            </w:tcBorders>
            <w:vAlign w:val="center"/>
            <w:hideMark/>
          </w:tcPr>
          <w:p>
            <w:pPr>
              <w:spacing w:before="0"/>
              <w:jc w:val="center"/>
              <w:rPr>
                <w:rFonts w:cs="Calibri"/>
                <w:color w:val="000000"/>
              </w:rPr>
            </w:pPr>
          </w:p>
        </w:tc>
        <w:tc>
          <w:tcPr>
            <w:tcW w:w="1843" w:type="dxa"/>
            <w:tcBorders>
              <w:top w:val="nil"/>
              <w:left w:val="nil"/>
              <w:bottom w:val="single" w:sz="4" w:space="0" w:color="auto"/>
              <w:right w:val="single" w:sz="4" w:space="0" w:color="auto"/>
            </w:tcBorders>
            <w:shd w:val="clear" w:color="auto" w:fill="auto"/>
            <w:noWrap/>
            <w:vAlign w:val="center"/>
            <w:hideMark/>
          </w:tcPr>
          <w:p>
            <w:pPr>
              <w:spacing w:before="0"/>
              <w:jc w:val="center"/>
              <w:rPr>
                <w:rFonts w:cs="Calibri"/>
                <w:color w:val="000000"/>
                <w:szCs w:val="22"/>
              </w:rPr>
            </w:pPr>
            <w:r>
              <w:rPr>
                <w:rFonts w:cs="Calibri"/>
                <w:color w:val="000000"/>
                <w:szCs w:val="22"/>
              </w:rPr>
              <w:t>Anomalie non identifiée</w:t>
            </w:r>
          </w:p>
        </w:tc>
        <w:tc>
          <w:tcPr>
            <w:tcW w:w="567"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20</w:t>
            </w:r>
          </w:p>
        </w:tc>
        <w:tc>
          <w:tcPr>
            <w:tcW w:w="851"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1</w:t>
            </w:r>
          </w:p>
        </w:tc>
        <w:tc>
          <w:tcPr>
            <w:tcW w:w="850"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19</w:t>
            </w:r>
          </w:p>
        </w:tc>
        <w:tc>
          <w:tcPr>
            <w:tcW w:w="843"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1200</w:t>
            </w:r>
          </w:p>
        </w:tc>
        <w:tc>
          <w:tcPr>
            <w:tcW w:w="1142" w:type="dxa"/>
            <w:vMerge/>
            <w:tcBorders>
              <w:top w:val="nil"/>
              <w:left w:val="single" w:sz="4" w:space="0" w:color="auto"/>
              <w:bottom w:val="single" w:sz="4" w:space="0" w:color="auto"/>
              <w:right w:val="single" w:sz="4" w:space="0" w:color="auto"/>
            </w:tcBorders>
            <w:vAlign w:val="center"/>
            <w:hideMark/>
          </w:tcPr>
          <w:p>
            <w:pPr>
              <w:spacing w:before="0"/>
              <w:jc w:val="center"/>
              <w:rPr>
                <w:rFonts w:cs="Calibri"/>
                <w:color w:val="000000"/>
              </w:rPr>
            </w:pPr>
          </w:p>
        </w:tc>
        <w:tc>
          <w:tcPr>
            <w:tcW w:w="1275" w:type="dxa"/>
            <w:vMerge/>
            <w:tcBorders>
              <w:top w:val="nil"/>
              <w:left w:val="single" w:sz="4" w:space="0" w:color="auto"/>
              <w:bottom w:val="single" w:sz="4" w:space="0" w:color="auto"/>
              <w:right w:val="single" w:sz="4" w:space="0" w:color="auto"/>
            </w:tcBorders>
            <w:vAlign w:val="center"/>
            <w:hideMark/>
          </w:tcPr>
          <w:p>
            <w:pPr>
              <w:spacing w:before="0"/>
              <w:jc w:val="center"/>
              <w:rPr>
                <w:rFonts w:cs="Calibri"/>
                <w:color w:val="000000"/>
              </w:rPr>
            </w:pPr>
          </w:p>
        </w:tc>
      </w:tr>
      <w:tr>
        <w:trPr>
          <w:trHeight w:val="300"/>
        </w:trPr>
        <w:tc>
          <w:tcPr>
            <w:tcW w:w="1090" w:type="dxa"/>
            <w:vMerge/>
            <w:tcBorders>
              <w:left w:val="single" w:sz="4" w:space="0" w:color="auto"/>
              <w:right w:val="single" w:sz="4" w:space="0" w:color="auto"/>
            </w:tcBorders>
            <w:shd w:val="clear" w:color="auto" w:fill="auto"/>
            <w:vAlign w:val="center"/>
            <w:hideMark/>
          </w:tcPr>
          <w:p>
            <w:pPr>
              <w:spacing w:before="0"/>
              <w:jc w:val="center"/>
              <w:rPr>
                <w:rFonts w:cs="Calibri"/>
                <w:color w:val="000000"/>
              </w:rPr>
            </w:pPr>
          </w:p>
        </w:tc>
        <w:tc>
          <w:tcPr>
            <w:tcW w:w="1193" w:type="dxa"/>
            <w:vMerge/>
            <w:tcBorders>
              <w:top w:val="nil"/>
              <w:left w:val="single" w:sz="4" w:space="0" w:color="auto"/>
              <w:bottom w:val="single" w:sz="4" w:space="0" w:color="auto"/>
              <w:right w:val="single" w:sz="4" w:space="0" w:color="auto"/>
            </w:tcBorders>
            <w:vAlign w:val="center"/>
            <w:hideMark/>
          </w:tcPr>
          <w:p>
            <w:pPr>
              <w:spacing w:before="0"/>
              <w:jc w:val="center"/>
              <w:rPr>
                <w:rFonts w:cs="Calibri"/>
                <w:color w:val="000000"/>
              </w:rPr>
            </w:pPr>
          </w:p>
        </w:tc>
        <w:tc>
          <w:tcPr>
            <w:tcW w:w="1843" w:type="dxa"/>
            <w:tcBorders>
              <w:top w:val="nil"/>
              <w:left w:val="nil"/>
              <w:bottom w:val="single" w:sz="4" w:space="0" w:color="auto"/>
              <w:right w:val="single" w:sz="4" w:space="0" w:color="auto"/>
            </w:tcBorders>
            <w:shd w:val="clear" w:color="auto" w:fill="auto"/>
            <w:noWrap/>
            <w:vAlign w:val="center"/>
            <w:hideMark/>
          </w:tcPr>
          <w:p>
            <w:pPr>
              <w:spacing w:before="0"/>
              <w:jc w:val="center"/>
              <w:rPr>
                <w:rFonts w:cs="Calibri"/>
                <w:color w:val="000000"/>
              </w:rPr>
            </w:pPr>
            <w:r>
              <w:rPr>
                <w:rFonts w:cs="Calibri"/>
                <w:color w:val="000000"/>
                <w:szCs w:val="22"/>
              </w:rPr>
              <w:t>Autres</w:t>
            </w:r>
          </w:p>
        </w:tc>
        <w:tc>
          <w:tcPr>
            <w:tcW w:w="567"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6</w:t>
            </w:r>
          </w:p>
        </w:tc>
        <w:tc>
          <w:tcPr>
            <w:tcW w:w="851"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3</w:t>
            </w:r>
          </w:p>
        </w:tc>
        <w:tc>
          <w:tcPr>
            <w:tcW w:w="850"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3</w:t>
            </w:r>
          </w:p>
        </w:tc>
        <w:tc>
          <w:tcPr>
            <w:tcW w:w="843"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color w:val="000000"/>
              </w:rPr>
            </w:pPr>
            <w:r>
              <w:rPr>
                <w:rFonts w:cs="Calibri"/>
                <w:color w:val="000000"/>
                <w:szCs w:val="22"/>
              </w:rPr>
              <w:t>180</w:t>
            </w:r>
          </w:p>
        </w:tc>
        <w:tc>
          <w:tcPr>
            <w:tcW w:w="1142" w:type="dxa"/>
            <w:vMerge/>
            <w:tcBorders>
              <w:top w:val="nil"/>
              <w:left w:val="single" w:sz="4" w:space="0" w:color="auto"/>
              <w:bottom w:val="single" w:sz="4" w:space="0" w:color="auto"/>
              <w:right w:val="single" w:sz="4" w:space="0" w:color="auto"/>
            </w:tcBorders>
            <w:vAlign w:val="center"/>
            <w:hideMark/>
          </w:tcPr>
          <w:p>
            <w:pPr>
              <w:spacing w:before="0"/>
              <w:jc w:val="center"/>
              <w:rPr>
                <w:rFonts w:cs="Calibri"/>
                <w:color w:val="000000"/>
              </w:rPr>
            </w:pPr>
          </w:p>
        </w:tc>
        <w:tc>
          <w:tcPr>
            <w:tcW w:w="1275" w:type="dxa"/>
            <w:vMerge/>
            <w:tcBorders>
              <w:top w:val="nil"/>
              <w:left w:val="single" w:sz="4" w:space="0" w:color="auto"/>
              <w:bottom w:val="single" w:sz="4" w:space="0" w:color="auto"/>
              <w:right w:val="single" w:sz="4" w:space="0" w:color="auto"/>
            </w:tcBorders>
            <w:vAlign w:val="center"/>
            <w:hideMark/>
          </w:tcPr>
          <w:p>
            <w:pPr>
              <w:spacing w:before="0"/>
              <w:jc w:val="center"/>
              <w:rPr>
                <w:rFonts w:cs="Calibri"/>
                <w:color w:val="000000"/>
              </w:rPr>
            </w:pPr>
          </w:p>
        </w:tc>
      </w:tr>
      <w:tr>
        <w:trPr>
          <w:trHeight w:val="300"/>
        </w:trPr>
        <w:tc>
          <w:tcPr>
            <w:tcW w:w="1090" w:type="dxa"/>
            <w:vMerge/>
            <w:tcBorders>
              <w:left w:val="single" w:sz="4" w:space="0" w:color="auto"/>
              <w:bottom w:val="single" w:sz="4" w:space="0" w:color="auto"/>
              <w:right w:val="single" w:sz="4" w:space="0" w:color="auto"/>
            </w:tcBorders>
            <w:shd w:val="clear" w:color="auto" w:fill="auto"/>
            <w:vAlign w:val="center"/>
            <w:hideMark/>
          </w:tcPr>
          <w:p>
            <w:pPr>
              <w:spacing w:before="0"/>
              <w:jc w:val="center"/>
              <w:rPr>
                <w:rFonts w:cs="Calibri"/>
                <w:color w:val="000000"/>
              </w:rPr>
            </w:pPr>
          </w:p>
        </w:tc>
        <w:tc>
          <w:tcPr>
            <w:tcW w:w="1193" w:type="dxa"/>
            <w:vMerge/>
            <w:tcBorders>
              <w:top w:val="nil"/>
              <w:left w:val="single" w:sz="4" w:space="0" w:color="auto"/>
              <w:bottom w:val="single" w:sz="4" w:space="0" w:color="auto"/>
              <w:right w:val="single" w:sz="4" w:space="0" w:color="auto"/>
            </w:tcBorders>
            <w:vAlign w:val="center"/>
            <w:hideMark/>
          </w:tcPr>
          <w:p>
            <w:pPr>
              <w:spacing w:before="0"/>
              <w:jc w:val="center"/>
              <w:rPr>
                <w:rFonts w:cs="Calibri"/>
                <w:color w:val="000000"/>
              </w:rPr>
            </w:pPr>
          </w:p>
        </w:tc>
        <w:tc>
          <w:tcPr>
            <w:tcW w:w="1843" w:type="dxa"/>
            <w:tcBorders>
              <w:top w:val="nil"/>
              <w:left w:val="nil"/>
              <w:bottom w:val="single" w:sz="4" w:space="0" w:color="auto"/>
              <w:right w:val="single" w:sz="4" w:space="0" w:color="auto"/>
            </w:tcBorders>
            <w:shd w:val="clear" w:color="auto" w:fill="auto"/>
            <w:noWrap/>
            <w:vAlign w:val="center"/>
            <w:hideMark/>
          </w:tcPr>
          <w:p>
            <w:pPr>
              <w:spacing w:before="0"/>
              <w:jc w:val="center"/>
              <w:rPr>
                <w:rFonts w:cs="Calibri"/>
                <w:b/>
                <w:color w:val="000000"/>
              </w:rPr>
            </w:pPr>
            <w:r>
              <w:rPr>
                <w:rFonts w:cs="Calibri"/>
                <w:b/>
                <w:color w:val="000000"/>
              </w:rPr>
              <w:t>TOTAL</w:t>
            </w:r>
          </w:p>
        </w:tc>
        <w:tc>
          <w:tcPr>
            <w:tcW w:w="567"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b/>
                <w:bCs/>
                <w:color w:val="000000"/>
              </w:rPr>
            </w:pPr>
            <w:r>
              <w:rPr>
                <w:rFonts w:cs="Calibri"/>
                <w:b/>
                <w:bCs/>
                <w:color w:val="000000"/>
              </w:rPr>
              <w:t>217</w:t>
            </w:r>
          </w:p>
        </w:tc>
        <w:tc>
          <w:tcPr>
            <w:tcW w:w="851"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b/>
                <w:bCs/>
                <w:color w:val="000000"/>
              </w:rPr>
            </w:pPr>
            <w:r>
              <w:rPr>
                <w:rFonts w:cs="Calibri"/>
                <w:b/>
                <w:bCs/>
                <w:color w:val="000000"/>
              </w:rPr>
              <w:t>113</w:t>
            </w:r>
          </w:p>
        </w:tc>
        <w:tc>
          <w:tcPr>
            <w:tcW w:w="850"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b/>
                <w:bCs/>
                <w:color w:val="000000"/>
              </w:rPr>
            </w:pPr>
            <w:r>
              <w:rPr>
                <w:rFonts w:cs="Calibri"/>
                <w:b/>
                <w:bCs/>
                <w:color w:val="000000"/>
              </w:rPr>
              <w:t>104</w:t>
            </w:r>
          </w:p>
        </w:tc>
        <w:tc>
          <w:tcPr>
            <w:tcW w:w="843" w:type="dxa"/>
            <w:tcBorders>
              <w:top w:val="nil"/>
              <w:left w:val="nil"/>
              <w:bottom w:val="single" w:sz="4" w:space="0" w:color="auto"/>
              <w:right w:val="single" w:sz="4" w:space="0" w:color="auto"/>
            </w:tcBorders>
            <w:shd w:val="clear" w:color="auto" w:fill="auto"/>
            <w:noWrap/>
            <w:vAlign w:val="bottom"/>
            <w:hideMark/>
          </w:tcPr>
          <w:p>
            <w:pPr>
              <w:spacing w:before="0"/>
              <w:jc w:val="center"/>
              <w:rPr>
                <w:rFonts w:cs="Calibri"/>
                <w:b/>
                <w:bCs/>
                <w:color w:val="000000"/>
              </w:rPr>
            </w:pPr>
            <w:r>
              <w:rPr>
                <w:rFonts w:cs="Calibri"/>
                <w:b/>
                <w:bCs/>
                <w:color w:val="000000"/>
              </w:rPr>
              <w:t>14490</w:t>
            </w:r>
          </w:p>
        </w:tc>
        <w:tc>
          <w:tcPr>
            <w:tcW w:w="1142" w:type="dxa"/>
            <w:vMerge/>
            <w:tcBorders>
              <w:top w:val="nil"/>
              <w:left w:val="single" w:sz="4" w:space="0" w:color="auto"/>
              <w:bottom w:val="single" w:sz="4" w:space="0" w:color="auto"/>
              <w:right w:val="single" w:sz="4" w:space="0" w:color="auto"/>
            </w:tcBorders>
            <w:vAlign w:val="center"/>
            <w:hideMark/>
          </w:tcPr>
          <w:p>
            <w:pPr>
              <w:spacing w:before="0"/>
              <w:jc w:val="center"/>
              <w:rPr>
                <w:rFonts w:cs="Calibri"/>
                <w:color w:val="000000"/>
              </w:rPr>
            </w:pPr>
          </w:p>
        </w:tc>
        <w:tc>
          <w:tcPr>
            <w:tcW w:w="1275" w:type="dxa"/>
            <w:vMerge/>
            <w:tcBorders>
              <w:top w:val="nil"/>
              <w:left w:val="single" w:sz="4" w:space="0" w:color="auto"/>
              <w:bottom w:val="single" w:sz="4" w:space="0" w:color="auto"/>
              <w:right w:val="single" w:sz="4" w:space="0" w:color="auto"/>
            </w:tcBorders>
            <w:vAlign w:val="center"/>
            <w:hideMark/>
          </w:tcPr>
          <w:p>
            <w:pPr>
              <w:spacing w:before="0"/>
              <w:jc w:val="center"/>
              <w:rPr>
                <w:rFonts w:cs="Calibri"/>
                <w:color w:val="000000"/>
              </w:rPr>
            </w:pPr>
          </w:p>
        </w:tc>
      </w:tr>
    </w:tbl>
    <w:p>
      <w:pPr>
        <w:pStyle w:val="Lgende"/>
        <w:rPr>
          <w:szCs w:val="20"/>
        </w:rPr>
      </w:pPr>
      <w:bookmarkStart w:id="23" w:name="_Toc71553039"/>
      <w:r>
        <w:rPr>
          <w:szCs w:val="20"/>
        </w:rPr>
        <w:t>Résultat des tests à la fumée</w:t>
      </w:r>
      <w:bookmarkEnd w:id="23"/>
    </w:p>
    <w:p>
      <w:r>
        <w:t>La surface active estimée suite au test à la fumée est de l’ordre de 14 490m</w:t>
      </w:r>
      <w:r>
        <w:rPr>
          <w:vertAlign w:val="superscript"/>
        </w:rPr>
        <w:t>2</w:t>
      </w:r>
      <w:r>
        <w:t>. Ce résultat est inférieur à la surface active de 21 500m</w:t>
      </w:r>
      <w:r>
        <w:rPr>
          <w:vertAlign w:val="superscript"/>
        </w:rPr>
        <w:t>2</w:t>
      </w:r>
      <w:r>
        <w:t xml:space="preserve"> déterminée à partir de la campagne de mesures de débits. Cette différence peut s’expliquer par :</w:t>
      </w:r>
    </w:p>
    <w:p>
      <w:pPr>
        <w:pStyle w:val="Retrait20"/>
      </w:pPr>
      <w:r>
        <w:t>La difficulté d’évaluer la surface collectée pour certaines anomalies (regard, boite de branchement non étanche qui capte une partie des ruissellements)</w:t>
      </w:r>
    </w:p>
    <w:p>
      <w:pPr>
        <w:pStyle w:val="Retrait20"/>
      </w:pPr>
      <w:r>
        <w:t>Le fait que certaines anomalies n’ont peut-être pas été détectées (visibilité de la fumée si mur de jardin haut, haie etc.)</w:t>
      </w:r>
    </w:p>
    <w:p>
      <w:pPr>
        <w:pStyle w:val="Retrait20"/>
      </w:pPr>
      <w:r>
        <w:t>Le fait que les surfaces actives mesurées lors de la campagne de mesure peuvent être surestimées par un effet de ressuyage rapide (l’eau s’infiltre rapidement dans le sol pendant une pluie importante et entre dans le réseau par infiltration). Ces volumes viennent donc surestimé les surfaces actives estimées alors qu’il s’agit d’eau infiltrée et non captée.</w:t>
      </w:r>
    </w:p>
    <w:p>
      <w:pPr>
        <w:rPr>
          <w:rStyle w:val="lev"/>
          <w:b w:val="0"/>
        </w:rPr>
      </w:pPr>
      <w:r>
        <w:rPr>
          <w:rStyle w:val="lev"/>
          <w:b w:val="0"/>
        </w:rPr>
        <w:t>Au total, 216 anomalies ont été identifiées sur la commune de Garons, dont 100 se situent en domaine privé.</w:t>
      </w:r>
    </w:p>
    <w:p>
      <w:r>
        <w:t>La campagne de mesure a révélé une forte sensibilité des réseaux aux intempéries. Le programme de travaux propose des solutions techniques afin de réduire l’entrée des eaux parasites dans le réseau d’eaux usées, notamment par du renouvellement de réseau et la suppression des anomalies citées ci-dessus.</w:t>
      </w:r>
    </w:p>
    <w:p>
      <w:pPr>
        <w:spacing w:before="0"/>
        <w:jc w:val="left"/>
      </w:pPr>
      <w:bookmarkStart w:id="24" w:name="_Ref43217455"/>
      <w:bookmarkStart w:id="25" w:name="_Toc46480262"/>
    </w:p>
    <w:p>
      <w:pPr>
        <w:rPr>
          <w:b/>
          <w:u w:val="single"/>
        </w:rPr>
      </w:pPr>
      <w:r>
        <w:rPr>
          <w:b/>
          <w:u w:val="single"/>
        </w:rPr>
        <w:t>Passage caméra</w:t>
      </w:r>
    </w:p>
    <w:p>
      <w:pPr>
        <w:outlineLvl w:val="0"/>
        <w:rPr>
          <w:b/>
        </w:rPr>
      </w:pPr>
      <w:r>
        <w:t xml:space="preserve">Les secteurs investigués par le passage caméra correspondent aux secteurs potentiellement sensibles à très sensibles aux entrées d’eaux claires parasites, les secteurs où sont présents des regards en mauvais état, les secteurs avec des problèmes d’écoulement (traces de mise en charge), les secteurs où des anomalies repérées lors des tests à la fumée ont été identifiées, et les secteurs où des programmes de voirie sont prévus à court terme. 6525ml d’ITV ont été réalisés. </w:t>
      </w:r>
    </w:p>
    <w:p>
      <w:r>
        <w:t>L’entreprise MP3D a réalisé le passage caméra du 3 décembre 2020 au 14 janvier 2021.</w:t>
      </w:r>
    </w:p>
    <w:p>
      <w:r>
        <w:t>La carte de localisation des investigations télévisées est présentée ci-après.</w:t>
      </w:r>
    </w:p>
    <w:p>
      <w:pPr>
        <w:spacing w:before="0"/>
        <w:jc w:val="left"/>
        <w:rPr>
          <w:b/>
          <w:smallCaps/>
          <w:color w:val="333333"/>
          <w:kern w:val="28"/>
          <w:sz w:val="48"/>
        </w:rPr>
      </w:pPr>
      <w:r>
        <w:rPr>
          <w:noProof/>
        </w:rPr>
        <w:lastRenderedPageBreak/>
        <w:drawing>
          <wp:anchor distT="0" distB="0" distL="114300" distR="114300" simplePos="0" relativeHeight="251976704" behindDoc="1" locked="0" layoutInCell="1" allowOverlap="1">
            <wp:simplePos x="0" y="0"/>
            <wp:positionH relativeFrom="column">
              <wp:posOffset>0</wp:posOffset>
            </wp:positionH>
            <wp:positionV relativeFrom="paragraph">
              <wp:posOffset>367665</wp:posOffset>
            </wp:positionV>
            <wp:extent cx="5704205" cy="7580630"/>
            <wp:effectExtent l="19050" t="19050" r="0" b="1270"/>
            <wp:wrapThrough wrapText="bothSides">
              <wp:wrapPolygon edited="0">
                <wp:start x="-72" y="-54"/>
                <wp:lineTo x="-72" y="21604"/>
                <wp:lineTo x="21569" y="21604"/>
                <wp:lineTo x="21569" y="-54"/>
                <wp:lineTo x="-72" y="-54"/>
              </wp:wrapPolygon>
            </wp:wrapThrough>
            <wp:docPr id="96" name="Imag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extLst>
                        <a:ext uri="{28A0092B-C50C-407E-A947-70E740481C1C}">
                          <a14:useLocalDpi xmlns:a14="http://schemas.microsoft.com/office/drawing/2010/main" val="0"/>
                        </a:ext>
                      </a:extLst>
                    </a:blip>
                    <a:stretch>
                      <a:fillRect/>
                    </a:stretch>
                  </pic:blipFill>
                  <pic:spPr>
                    <a:xfrm>
                      <a:off x="0" y="0"/>
                      <a:ext cx="5704205" cy="758063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br w:type="page"/>
      </w:r>
    </w:p>
    <w:p>
      <w:r>
        <w:lastRenderedPageBreak/>
        <w:t>Le tableau ci-dessous synthétise les différentes anomalies rencontrées lors du passage caméra.</w:t>
      </w:r>
    </w:p>
    <w:p/>
    <w:tbl>
      <w:tblPr>
        <w:tblStyle w:val="Grilledutableau"/>
        <w:tblW w:w="0" w:type="auto"/>
        <w:jc w:val="center"/>
        <w:tblLook w:val="04A0" w:firstRow="1" w:lastRow="0" w:firstColumn="1" w:lastColumn="0" w:noHBand="0" w:noVBand="1"/>
      </w:tblPr>
      <w:tblGrid>
        <w:gridCol w:w="1955"/>
        <w:gridCol w:w="4674"/>
        <w:gridCol w:w="2410"/>
      </w:tblGrid>
      <w:tr>
        <w:trPr>
          <w:jc w:val="center"/>
        </w:trPr>
        <w:tc>
          <w:tcPr>
            <w:tcW w:w="1955"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pPr>
              <w:jc w:val="center"/>
              <w:rPr>
                <w:b/>
                <w:color w:val="000000"/>
              </w:rPr>
            </w:pPr>
            <w:r>
              <w:rPr>
                <w:b/>
              </w:rPr>
              <w:t>Secteur</w:t>
            </w:r>
          </w:p>
        </w:tc>
        <w:tc>
          <w:tcPr>
            <w:tcW w:w="4674"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pPr>
              <w:jc w:val="center"/>
              <w:rPr>
                <w:b/>
                <w:color w:val="000000"/>
              </w:rPr>
            </w:pPr>
            <w:r>
              <w:rPr>
                <w:b/>
              </w:rPr>
              <w:t>Anomalies repérées</w:t>
            </w:r>
          </w:p>
        </w:tc>
        <w:tc>
          <w:tcPr>
            <w:tcW w:w="2410"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pPr>
              <w:jc w:val="center"/>
              <w:rPr>
                <w:b/>
                <w:color w:val="000000"/>
              </w:rPr>
            </w:pPr>
            <w:r>
              <w:rPr>
                <w:b/>
              </w:rPr>
              <w:t>Total des anomalies</w:t>
            </w:r>
          </w:p>
        </w:tc>
      </w:tr>
      <w:tr>
        <w:trPr>
          <w:jc w:val="center"/>
        </w:trPr>
        <w:tc>
          <w:tcPr>
            <w:tcW w:w="1955" w:type="dxa"/>
            <w:tcBorders>
              <w:top w:val="single" w:sz="4" w:space="0" w:color="auto"/>
              <w:left w:val="single" w:sz="4" w:space="0" w:color="auto"/>
              <w:right w:val="single" w:sz="4" w:space="0" w:color="auto"/>
            </w:tcBorders>
            <w:vAlign w:val="center"/>
            <w:hideMark/>
          </w:tcPr>
          <w:p>
            <w:pPr>
              <w:jc w:val="center"/>
              <w:rPr>
                <w:color w:val="000000"/>
              </w:rPr>
            </w:pPr>
            <w:r>
              <w:t xml:space="preserve">Amont PR de la </w:t>
            </w:r>
            <w:proofErr w:type="spellStart"/>
            <w:r>
              <w:t>Grand’Terre</w:t>
            </w:r>
            <w:proofErr w:type="spellEnd"/>
          </w:p>
        </w:tc>
        <w:tc>
          <w:tcPr>
            <w:tcW w:w="4674" w:type="dxa"/>
            <w:tcBorders>
              <w:top w:val="single" w:sz="4" w:space="0" w:color="auto"/>
              <w:left w:val="single" w:sz="4" w:space="0" w:color="auto"/>
              <w:bottom w:val="single" w:sz="4" w:space="0" w:color="auto"/>
              <w:right w:val="single" w:sz="4" w:space="0" w:color="auto"/>
            </w:tcBorders>
            <w:vAlign w:val="center"/>
            <w:hideMark/>
          </w:tcPr>
          <w:p>
            <w:pPr>
              <w:jc w:val="center"/>
              <w:rPr>
                <w:color w:val="000000"/>
              </w:rPr>
            </w:pPr>
            <w:r>
              <w:t>Aucune anomalie</w:t>
            </w:r>
          </w:p>
        </w:tc>
        <w:tc>
          <w:tcPr>
            <w:tcW w:w="2410" w:type="dxa"/>
            <w:tcBorders>
              <w:top w:val="single" w:sz="4" w:space="0" w:color="auto"/>
              <w:left w:val="single" w:sz="4" w:space="0" w:color="auto"/>
              <w:bottom w:val="single" w:sz="4" w:space="0" w:color="auto"/>
              <w:right w:val="single" w:sz="4" w:space="0" w:color="auto"/>
            </w:tcBorders>
            <w:vAlign w:val="center"/>
          </w:tcPr>
          <w:p>
            <w:pPr>
              <w:jc w:val="center"/>
              <w:rPr>
                <w:rFonts w:cs="Calibri"/>
                <w:color w:val="000000"/>
              </w:rPr>
            </w:pPr>
            <w:r>
              <w:rPr>
                <w:rFonts w:cs="Calibri"/>
                <w:color w:val="000000"/>
              </w:rPr>
              <w:t>0</w:t>
            </w:r>
          </w:p>
        </w:tc>
      </w:tr>
      <w:tr>
        <w:trPr>
          <w:jc w:val="center"/>
        </w:trPr>
        <w:tc>
          <w:tcPr>
            <w:tcW w:w="1955" w:type="dxa"/>
            <w:vMerge w:val="restart"/>
            <w:tcBorders>
              <w:top w:val="single" w:sz="4" w:space="0" w:color="auto"/>
              <w:left w:val="single" w:sz="4" w:space="0" w:color="auto"/>
              <w:right w:val="single" w:sz="4" w:space="0" w:color="auto"/>
            </w:tcBorders>
            <w:vAlign w:val="center"/>
            <w:hideMark/>
          </w:tcPr>
          <w:p>
            <w:pPr>
              <w:jc w:val="center"/>
            </w:pPr>
            <w:r>
              <w:t>Amont PR de la Clouterie</w:t>
            </w:r>
          </w:p>
        </w:tc>
        <w:tc>
          <w:tcPr>
            <w:tcW w:w="4674" w:type="dxa"/>
            <w:tcBorders>
              <w:top w:val="single" w:sz="4" w:space="0" w:color="auto"/>
              <w:left w:val="single" w:sz="4" w:space="0" w:color="auto"/>
              <w:bottom w:val="single" w:sz="4" w:space="0" w:color="auto"/>
              <w:right w:val="single" w:sz="4" w:space="0" w:color="auto"/>
            </w:tcBorders>
            <w:vAlign w:val="center"/>
          </w:tcPr>
          <w:p>
            <w:pPr>
              <w:jc w:val="center"/>
              <w:rPr>
                <w:color w:val="000000"/>
              </w:rPr>
            </w:pPr>
            <w:r>
              <w:t>Infiltration</w:t>
            </w:r>
          </w:p>
        </w:tc>
        <w:tc>
          <w:tcPr>
            <w:tcW w:w="2410" w:type="dxa"/>
            <w:tcBorders>
              <w:top w:val="single" w:sz="4" w:space="0" w:color="auto"/>
              <w:left w:val="single" w:sz="4" w:space="0" w:color="auto"/>
              <w:bottom w:val="single" w:sz="4" w:space="0" w:color="auto"/>
              <w:right w:val="single" w:sz="4" w:space="0" w:color="auto"/>
            </w:tcBorders>
            <w:vAlign w:val="center"/>
          </w:tcPr>
          <w:p>
            <w:pPr>
              <w:jc w:val="center"/>
              <w:rPr>
                <w:rFonts w:cs="Calibri"/>
                <w:color w:val="000000"/>
              </w:rPr>
            </w:pPr>
            <w:r>
              <w:rPr>
                <w:rFonts w:cs="Calibri"/>
                <w:color w:val="000000"/>
              </w:rPr>
              <w:t>2</w:t>
            </w:r>
          </w:p>
        </w:tc>
      </w:tr>
      <w:tr>
        <w:trPr>
          <w:jc w:val="center"/>
        </w:trPr>
        <w:tc>
          <w:tcPr>
            <w:tcW w:w="0" w:type="auto"/>
            <w:vMerge/>
            <w:tcBorders>
              <w:left w:val="single" w:sz="4" w:space="0" w:color="auto"/>
              <w:right w:val="single" w:sz="4" w:space="0" w:color="auto"/>
            </w:tcBorders>
            <w:vAlign w:val="center"/>
            <w:hideMark/>
          </w:tcPr>
          <w:p>
            <w:pPr>
              <w:jc w:val="center"/>
            </w:pPr>
          </w:p>
        </w:tc>
        <w:tc>
          <w:tcPr>
            <w:tcW w:w="4674" w:type="dxa"/>
            <w:tcBorders>
              <w:top w:val="single" w:sz="4" w:space="0" w:color="auto"/>
              <w:left w:val="single" w:sz="4" w:space="0" w:color="auto"/>
              <w:bottom w:val="single" w:sz="4" w:space="0" w:color="auto"/>
              <w:right w:val="single" w:sz="4" w:space="0" w:color="auto"/>
            </w:tcBorders>
            <w:vAlign w:val="center"/>
          </w:tcPr>
          <w:p>
            <w:pPr>
              <w:jc w:val="center"/>
            </w:pPr>
            <w:r>
              <w:t>Racines</w:t>
            </w:r>
          </w:p>
        </w:tc>
        <w:tc>
          <w:tcPr>
            <w:tcW w:w="2410" w:type="dxa"/>
            <w:tcBorders>
              <w:top w:val="single" w:sz="4" w:space="0" w:color="auto"/>
              <w:left w:val="single" w:sz="4" w:space="0" w:color="auto"/>
              <w:bottom w:val="single" w:sz="4" w:space="0" w:color="auto"/>
              <w:right w:val="single" w:sz="4" w:space="0" w:color="auto"/>
            </w:tcBorders>
            <w:vAlign w:val="center"/>
          </w:tcPr>
          <w:p>
            <w:pPr>
              <w:jc w:val="center"/>
              <w:rPr>
                <w:rFonts w:cs="Calibri"/>
                <w:color w:val="000000"/>
              </w:rPr>
            </w:pPr>
            <w:r>
              <w:rPr>
                <w:rFonts w:cs="Calibri"/>
                <w:color w:val="000000"/>
              </w:rPr>
              <w:t>1</w:t>
            </w:r>
          </w:p>
        </w:tc>
      </w:tr>
      <w:tr>
        <w:trPr>
          <w:jc w:val="center"/>
        </w:trPr>
        <w:tc>
          <w:tcPr>
            <w:tcW w:w="0" w:type="auto"/>
            <w:vMerge/>
            <w:tcBorders>
              <w:left w:val="single" w:sz="4" w:space="0" w:color="auto"/>
              <w:right w:val="single" w:sz="4" w:space="0" w:color="auto"/>
            </w:tcBorders>
            <w:vAlign w:val="center"/>
            <w:hideMark/>
          </w:tcPr>
          <w:p>
            <w:pPr>
              <w:jc w:val="center"/>
            </w:pPr>
          </w:p>
        </w:tc>
        <w:tc>
          <w:tcPr>
            <w:tcW w:w="4674" w:type="dxa"/>
            <w:tcBorders>
              <w:top w:val="single" w:sz="4" w:space="0" w:color="auto"/>
              <w:left w:val="single" w:sz="4" w:space="0" w:color="auto"/>
              <w:bottom w:val="single" w:sz="4" w:space="0" w:color="auto"/>
              <w:right w:val="single" w:sz="4" w:space="0" w:color="auto"/>
            </w:tcBorders>
            <w:vAlign w:val="center"/>
          </w:tcPr>
          <w:p>
            <w:pPr>
              <w:jc w:val="center"/>
            </w:pPr>
            <w:r>
              <w:t>Effondrement</w:t>
            </w:r>
          </w:p>
        </w:tc>
        <w:tc>
          <w:tcPr>
            <w:tcW w:w="2410" w:type="dxa"/>
            <w:tcBorders>
              <w:top w:val="single" w:sz="4" w:space="0" w:color="auto"/>
              <w:left w:val="single" w:sz="4" w:space="0" w:color="auto"/>
              <w:bottom w:val="single" w:sz="4" w:space="0" w:color="auto"/>
              <w:right w:val="single" w:sz="4" w:space="0" w:color="auto"/>
            </w:tcBorders>
            <w:vAlign w:val="center"/>
          </w:tcPr>
          <w:p>
            <w:pPr>
              <w:jc w:val="center"/>
              <w:rPr>
                <w:rFonts w:cs="Calibri"/>
                <w:color w:val="000000"/>
              </w:rPr>
            </w:pPr>
            <w:r>
              <w:rPr>
                <w:rFonts w:cs="Calibri"/>
                <w:color w:val="000000"/>
              </w:rPr>
              <w:t>1</w:t>
            </w:r>
          </w:p>
        </w:tc>
      </w:tr>
      <w:tr>
        <w:trPr>
          <w:jc w:val="center"/>
        </w:trPr>
        <w:tc>
          <w:tcPr>
            <w:tcW w:w="0" w:type="auto"/>
            <w:vMerge/>
            <w:tcBorders>
              <w:left w:val="single" w:sz="4" w:space="0" w:color="auto"/>
              <w:right w:val="single" w:sz="4" w:space="0" w:color="auto"/>
            </w:tcBorders>
            <w:vAlign w:val="center"/>
            <w:hideMark/>
          </w:tcPr>
          <w:p>
            <w:pPr>
              <w:jc w:val="center"/>
            </w:pPr>
          </w:p>
        </w:tc>
        <w:tc>
          <w:tcPr>
            <w:tcW w:w="4674" w:type="dxa"/>
            <w:tcBorders>
              <w:top w:val="single" w:sz="4" w:space="0" w:color="auto"/>
              <w:left w:val="single" w:sz="4" w:space="0" w:color="auto"/>
              <w:bottom w:val="single" w:sz="4" w:space="0" w:color="auto"/>
              <w:right w:val="single" w:sz="4" w:space="0" w:color="auto"/>
            </w:tcBorders>
            <w:vAlign w:val="center"/>
          </w:tcPr>
          <w:p>
            <w:pPr>
              <w:jc w:val="center"/>
            </w:pPr>
            <w:r>
              <w:t>Joint défectueux</w:t>
            </w:r>
          </w:p>
        </w:tc>
        <w:tc>
          <w:tcPr>
            <w:tcW w:w="2410" w:type="dxa"/>
            <w:tcBorders>
              <w:top w:val="single" w:sz="4" w:space="0" w:color="auto"/>
              <w:left w:val="single" w:sz="4" w:space="0" w:color="auto"/>
              <w:bottom w:val="single" w:sz="4" w:space="0" w:color="auto"/>
              <w:right w:val="single" w:sz="4" w:space="0" w:color="auto"/>
            </w:tcBorders>
            <w:vAlign w:val="center"/>
          </w:tcPr>
          <w:p>
            <w:pPr>
              <w:jc w:val="center"/>
              <w:rPr>
                <w:rFonts w:cs="Calibri"/>
                <w:color w:val="000000"/>
              </w:rPr>
            </w:pPr>
            <w:r>
              <w:rPr>
                <w:rFonts w:cs="Calibri"/>
                <w:color w:val="000000"/>
              </w:rPr>
              <w:t>6</w:t>
            </w:r>
          </w:p>
        </w:tc>
      </w:tr>
      <w:tr>
        <w:trPr>
          <w:jc w:val="center"/>
        </w:trPr>
        <w:tc>
          <w:tcPr>
            <w:tcW w:w="0" w:type="auto"/>
            <w:vMerge/>
            <w:tcBorders>
              <w:left w:val="single" w:sz="4" w:space="0" w:color="auto"/>
              <w:right w:val="single" w:sz="4" w:space="0" w:color="auto"/>
            </w:tcBorders>
            <w:vAlign w:val="center"/>
          </w:tcPr>
          <w:p>
            <w:pPr>
              <w:jc w:val="center"/>
            </w:pPr>
          </w:p>
        </w:tc>
        <w:tc>
          <w:tcPr>
            <w:tcW w:w="4674" w:type="dxa"/>
            <w:tcBorders>
              <w:top w:val="single" w:sz="4" w:space="0" w:color="auto"/>
              <w:left w:val="single" w:sz="4" w:space="0" w:color="auto"/>
              <w:bottom w:val="single" w:sz="4" w:space="0" w:color="auto"/>
              <w:right w:val="single" w:sz="4" w:space="0" w:color="auto"/>
            </w:tcBorders>
            <w:vAlign w:val="center"/>
          </w:tcPr>
          <w:p>
            <w:pPr>
              <w:jc w:val="center"/>
            </w:pPr>
            <w:r>
              <w:t>Dépôt</w:t>
            </w:r>
          </w:p>
        </w:tc>
        <w:tc>
          <w:tcPr>
            <w:tcW w:w="2410" w:type="dxa"/>
            <w:tcBorders>
              <w:top w:val="single" w:sz="4" w:space="0" w:color="auto"/>
              <w:left w:val="single" w:sz="4" w:space="0" w:color="auto"/>
              <w:bottom w:val="single" w:sz="4" w:space="0" w:color="auto"/>
              <w:right w:val="single" w:sz="4" w:space="0" w:color="auto"/>
            </w:tcBorders>
            <w:vAlign w:val="center"/>
          </w:tcPr>
          <w:p>
            <w:pPr>
              <w:jc w:val="center"/>
              <w:rPr>
                <w:rFonts w:cs="Calibri"/>
                <w:color w:val="000000"/>
              </w:rPr>
            </w:pPr>
            <w:r>
              <w:rPr>
                <w:rFonts w:cs="Calibri"/>
                <w:color w:val="000000"/>
              </w:rPr>
              <w:t>1</w:t>
            </w:r>
          </w:p>
        </w:tc>
      </w:tr>
      <w:tr>
        <w:trPr>
          <w:jc w:val="center"/>
        </w:trPr>
        <w:tc>
          <w:tcPr>
            <w:tcW w:w="1955" w:type="dxa"/>
            <w:vMerge w:val="restart"/>
            <w:tcBorders>
              <w:top w:val="single" w:sz="4" w:space="0" w:color="auto"/>
              <w:left w:val="single" w:sz="4" w:space="0" w:color="auto"/>
              <w:right w:val="single" w:sz="4" w:space="0" w:color="auto"/>
            </w:tcBorders>
            <w:vAlign w:val="center"/>
            <w:hideMark/>
          </w:tcPr>
          <w:p>
            <w:pPr>
              <w:jc w:val="center"/>
            </w:pPr>
            <w:r>
              <w:t>Village</w:t>
            </w:r>
          </w:p>
        </w:tc>
        <w:tc>
          <w:tcPr>
            <w:tcW w:w="4674" w:type="dxa"/>
            <w:tcBorders>
              <w:top w:val="single" w:sz="4" w:space="0" w:color="auto"/>
              <w:left w:val="single" w:sz="4" w:space="0" w:color="auto"/>
              <w:bottom w:val="single" w:sz="4" w:space="0" w:color="auto"/>
              <w:right w:val="single" w:sz="4" w:space="0" w:color="auto"/>
            </w:tcBorders>
            <w:vAlign w:val="center"/>
          </w:tcPr>
          <w:p>
            <w:pPr>
              <w:jc w:val="center"/>
              <w:rPr>
                <w:color w:val="000000"/>
              </w:rPr>
            </w:pPr>
            <w:r>
              <w:t>Infiltration</w:t>
            </w:r>
          </w:p>
        </w:tc>
        <w:tc>
          <w:tcPr>
            <w:tcW w:w="2410" w:type="dxa"/>
            <w:tcBorders>
              <w:top w:val="single" w:sz="4" w:space="0" w:color="auto"/>
              <w:left w:val="single" w:sz="4" w:space="0" w:color="auto"/>
              <w:bottom w:val="single" w:sz="4" w:space="0" w:color="auto"/>
              <w:right w:val="single" w:sz="4" w:space="0" w:color="auto"/>
            </w:tcBorders>
            <w:vAlign w:val="center"/>
          </w:tcPr>
          <w:p>
            <w:pPr>
              <w:jc w:val="center"/>
              <w:rPr>
                <w:rFonts w:cs="Calibri"/>
                <w:color w:val="000000"/>
              </w:rPr>
            </w:pPr>
            <w:r>
              <w:rPr>
                <w:rFonts w:cs="Calibri"/>
                <w:color w:val="000000"/>
              </w:rPr>
              <w:t>1</w:t>
            </w:r>
          </w:p>
        </w:tc>
      </w:tr>
      <w:tr>
        <w:trPr>
          <w:jc w:val="center"/>
        </w:trPr>
        <w:tc>
          <w:tcPr>
            <w:tcW w:w="1955" w:type="dxa"/>
            <w:vMerge/>
            <w:tcBorders>
              <w:left w:val="single" w:sz="4" w:space="0" w:color="auto"/>
              <w:right w:val="single" w:sz="4" w:space="0" w:color="auto"/>
            </w:tcBorders>
            <w:vAlign w:val="center"/>
          </w:tcPr>
          <w:p>
            <w:pPr>
              <w:jc w:val="center"/>
            </w:pPr>
          </w:p>
        </w:tc>
        <w:tc>
          <w:tcPr>
            <w:tcW w:w="4674" w:type="dxa"/>
            <w:tcBorders>
              <w:top w:val="single" w:sz="4" w:space="0" w:color="auto"/>
              <w:left w:val="single" w:sz="4" w:space="0" w:color="auto"/>
              <w:bottom w:val="single" w:sz="4" w:space="0" w:color="auto"/>
              <w:right w:val="single" w:sz="4" w:space="0" w:color="auto"/>
            </w:tcBorders>
            <w:vAlign w:val="center"/>
          </w:tcPr>
          <w:p>
            <w:pPr>
              <w:jc w:val="center"/>
            </w:pPr>
            <w:r>
              <w:t>Racines</w:t>
            </w:r>
          </w:p>
        </w:tc>
        <w:tc>
          <w:tcPr>
            <w:tcW w:w="2410" w:type="dxa"/>
            <w:tcBorders>
              <w:top w:val="single" w:sz="4" w:space="0" w:color="auto"/>
              <w:left w:val="single" w:sz="4" w:space="0" w:color="auto"/>
              <w:bottom w:val="single" w:sz="4" w:space="0" w:color="auto"/>
              <w:right w:val="single" w:sz="4" w:space="0" w:color="auto"/>
            </w:tcBorders>
            <w:vAlign w:val="center"/>
          </w:tcPr>
          <w:p>
            <w:pPr>
              <w:jc w:val="center"/>
              <w:rPr>
                <w:rFonts w:cs="Calibri"/>
                <w:color w:val="000000"/>
              </w:rPr>
            </w:pPr>
            <w:r>
              <w:rPr>
                <w:rFonts w:cs="Calibri"/>
                <w:color w:val="000000"/>
              </w:rPr>
              <w:t>3</w:t>
            </w:r>
          </w:p>
        </w:tc>
      </w:tr>
      <w:tr>
        <w:trPr>
          <w:jc w:val="center"/>
        </w:trPr>
        <w:tc>
          <w:tcPr>
            <w:tcW w:w="1955" w:type="dxa"/>
            <w:vMerge/>
            <w:tcBorders>
              <w:left w:val="single" w:sz="4" w:space="0" w:color="auto"/>
              <w:right w:val="single" w:sz="4" w:space="0" w:color="auto"/>
            </w:tcBorders>
            <w:vAlign w:val="center"/>
          </w:tcPr>
          <w:p>
            <w:pPr>
              <w:jc w:val="center"/>
            </w:pPr>
          </w:p>
        </w:tc>
        <w:tc>
          <w:tcPr>
            <w:tcW w:w="4674" w:type="dxa"/>
            <w:tcBorders>
              <w:top w:val="single" w:sz="4" w:space="0" w:color="auto"/>
              <w:left w:val="single" w:sz="4" w:space="0" w:color="auto"/>
              <w:bottom w:val="single" w:sz="4" w:space="0" w:color="auto"/>
              <w:right w:val="single" w:sz="4" w:space="0" w:color="auto"/>
            </w:tcBorders>
            <w:vAlign w:val="center"/>
          </w:tcPr>
          <w:p>
            <w:pPr>
              <w:jc w:val="center"/>
            </w:pPr>
            <w:r>
              <w:t>Effondrement</w:t>
            </w:r>
          </w:p>
        </w:tc>
        <w:tc>
          <w:tcPr>
            <w:tcW w:w="2410" w:type="dxa"/>
            <w:tcBorders>
              <w:top w:val="single" w:sz="4" w:space="0" w:color="auto"/>
              <w:left w:val="single" w:sz="4" w:space="0" w:color="auto"/>
              <w:bottom w:val="single" w:sz="4" w:space="0" w:color="auto"/>
              <w:right w:val="single" w:sz="4" w:space="0" w:color="auto"/>
            </w:tcBorders>
            <w:vAlign w:val="center"/>
          </w:tcPr>
          <w:p>
            <w:pPr>
              <w:jc w:val="center"/>
              <w:rPr>
                <w:rFonts w:cs="Calibri"/>
                <w:color w:val="000000"/>
              </w:rPr>
            </w:pPr>
            <w:r>
              <w:rPr>
                <w:rFonts w:cs="Calibri"/>
                <w:color w:val="000000"/>
              </w:rPr>
              <w:t>11</w:t>
            </w:r>
          </w:p>
        </w:tc>
      </w:tr>
      <w:tr>
        <w:trPr>
          <w:jc w:val="center"/>
        </w:trPr>
        <w:tc>
          <w:tcPr>
            <w:tcW w:w="1955" w:type="dxa"/>
            <w:vMerge/>
            <w:tcBorders>
              <w:left w:val="single" w:sz="4" w:space="0" w:color="auto"/>
              <w:right w:val="single" w:sz="4" w:space="0" w:color="auto"/>
            </w:tcBorders>
            <w:vAlign w:val="center"/>
          </w:tcPr>
          <w:p>
            <w:pPr>
              <w:jc w:val="center"/>
            </w:pPr>
          </w:p>
        </w:tc>
        <w:tc>
          <w:tcPr>
            <w:tcW w:w="4674" w:type="dxa"/>
            <w:tcBorders>
              <w:top w:val="single" w:sz="4" w:space="0" w:color="auto"/>
              <w:left w:val="single" w:sz="4" w:space="0" w:color="auto"/>
              <w:bottom w:val="single" w:sz="4" w:space="0" w:color="auto"/>
              <w:right w:val="single" w:sz="4" w:space="0" w:color="auto"/>
            </w:tcBorders>
            <w:vAlign w:val="center"/>
          </w:tcPr>
          <w:p>
            <w:pPr>
              <w:jc w:val="center"/>
            </w:pPr>
            <w:r>
              <w:t>Fissure</w:t>
            </w:r>
          </w:p>
        </w:tc>
        <w:tc>
          <w:tcPr>
            <w:tcW w:w="2410" w:type="dxa"/>
            <w:tcBorders>
              <w:top w:val="single" w:sz="4" w:space="0" w:color="auto"/>
              <w:left w:val="single" w:sz="4" w:space="0" w:color="auto"/>
              <w:bottom w:val="single" w:sz="4" w:space="0" w:color="auto"/>
              <w:right w:val="single" w:sz="4" w:space="0" w:color="auto"/>
            </w:tcBorders>
            <w:vAlign w:val="center"/>
          </w:tcPr>
          <w:p>
            <w:pPr>
              <w:jc w:val="center"/>
              <w:rPr>
                <w:rFonts w:cs="Calibri"/>
                <w:color w:val="000000"/>
              </w:rPr>
            </w:pPr>
            <w:r>
              <w:rPr>
                <w:rFonts w:cs="Calibri"/>
                <w:color w:val="000000"/>
              </w:rPr>
              <w:t>9</w:t>
            </w:r>
          </w:p>
        </w:tc>
      </w:tr>
      <w:tr>
        <w:trPr>
          <w:jc w:val="center"/>
        </w:trPr>
        <w:tc>
          <w:tcPr>
            <w:tcW w:w="1955" w:type="dxa"/>
            <w:vMerge/>
            <w:tcBorders>
              <w:left w:val="single" w:sz="4" w:space="0" w:color="auto"/>
              <w:right w:val="single" w:sz="4" w:space="0" w:color="auto"/>
            </w:tcBorders>
            <w:vAlign w:val="center"/>
          </w:tcPr>
          <w:p>
            <w:pPr>
              <w:jc w:val="center"/>
            </w:pPr>
          </w:p>
        </w:tc>
        <w:tc>
          <w:tcPr>
            <w:tcW w:w="4674" w:type="dxa"/>
            <w:tcBorders>
              <w:top w:val="single" w:sz="4" w:space="0" w:color="auto"/>
              <w:left w:val="single" w:sz="4" w:space="0" w:color="auto"/>
              <w:bottom w:val="single" w:sz="4" w:space="0" w:color="auto"/>
              <w:right w:val="single" w:sz="4" w:space="0" w:color="auto"/>
            </w:tcBorders>
            <w:vAlign w:val="center"/>
          </w:tcPr>
          <w:p>
            <w:pPr>
              <w:jc w:val="center"/>
            </w:pPr>
            <w:r>
              <w:t>Joint défectueux</w:t>
            </w:r>
          </w:p>
        </w:tc>
        <w:tc>
          <w:tcPr>
            <w:tcW w:w="2410" w:type="dxa"/>
            <w:tcBorders>
              <w:top w:val="single" w:sz="4" w:space="0" w:color="auto"/>
              <w:left w:val="single" w:sz="4" w:space="0" w:color="auto"/>
              <w:bottom w:val="single" w:sz="4" w:space="0" w:color="auto"/>
              <w:right w:val="single" w:sz="4" w:space="0" w:color="auto"/>
            </w:tcBorders>
            <w:vAlign w:val="center"/>
          </w:tcPr>
          <w:p>
            <w:pPr>
              <w:jc w:val="center"/>
              <w:rPr>
                <w:rFonts w:cs="Calibri"/>
                <w:color w:val="000000"/>
              </w:rPr>
            </w:pPr>
            <w:r>
              <w:rPr>
                <w:rFonts w:cs="Calibri"/>
                <w:color w:val="000000"/>
              </w:rPr>
              <w:t>2</w:t>
            </w:r>
          </w:p>
        </w:tc>
      </w:tr>
      <w:tr>
        <w:trPr>
          <w:jc w:val="center"/>
        </w:trPr>
        <w:tc>
          <w:tcPr>
            <w:tcW w:w="1955" w:type="dxa"/>
            <w:vMerge/>
            <w:tcBorders>
              <w:left w:val="single" w:sz="4" w:space="0" w:color="auto"/>
              <w:right w:val="single" w:sz="4" w:space="0" w:color="auto"/>
            </w:tcBorders>
            <w:vAlign w:val="center"/>
          </w:tcPr>
          <w:p>
            <w:pPr>
              <w:jc w:val="center"/>
            </w:pPr>
          </w:p>
        </w:tc>
        <w:tc>
          <w:tcPr>
            <w:tcW w:w="4674" w:type="dxa"/>
            <w:tcBorders>
              <w:top w:val="single" w:sz="4" w:space="0" w:color="auto"/>
              <w:left w:val="single" w:sz="4" w:space="0" w:color="auto"/>
              <w:bottom w:val="single" w:sz="4" w:space="0" w:color="auto"/>
              <w:right w:val="single" w:sz="4" w:space="0" w:color="auto"/>
            </w:tcBorders>
            <w:vAlign w:val="center"/>
          </w:tcPr>
          <w:p>
            <w:pPr>
              <w:jc w:val="center"/>
            </w:pPr>
            <w:r>
              <w:t>Déformation</w:t>
            </w:r>
          </w:p>
        </w:tc>
        <w:tc>
          <w:tcPr>
            <w:tcW w:w="2410" w:type="dxa"/>
            <w:tcBorders>
              <w:top w:val="single" w:sz="4" w:space="0" w:color="auto"/>
              <w:left w:val="single" w:sz="4" w:space="0" w:color="auto"/>
              <w:bottom w:val="single" w:sz="4" w:space="0" w:color="auto"/>
              <w:right w:val="single" w:sz="4" w:space="0" w:color="auto"/>
            </w:tcBorders>
            <w:vAlign w:val="center"/>
          </w:tcPr>
          <w:p>
            <w:pPr>
              <w:jc w:val="center"/>
              <w:rPr>
                <w:rFonts w:cs="Calibri"/>
                <w:color w:val="000000"/>
              </w:rPr>
            </w:pPr>
            <w:r>
              <w:rPr>
                <w:rFonts w:cs="Calibri"/>
                <w:color w:val="000000"/>
              </w:rPr>
              <w:t>11</w:t>
            </w:r>
          </w:p>
        </w:tc>
      </w:tr>
      <w:tr>
        <w:trPr>
          <w:jc w:val="center"/>
        </w:trPr>
        <w:tc>
          <w:tcPr>
            <w:tcW w:w="1955" w:type="dxa"/>
            <w:vMerge/>
            <w:tcBorders>
              <w:left w:val="single" w:sz="4" w:space="0" w:color="auto"/>
              <w:right w:val="single" w:sz="4" w:space="0" w:color="auto"/>
            </w:tcBorders>
            <w:vAlign w:val="center"/>
          </w:tcPr>
          <w:p>
            <w:pPr>
              <w:jc w:val="center"/>
            </w:pPr>
          </w:p>
        </w:tc>
        <w:tc>
          <w:tcPr>
            <w:tcW w:w="4674" w:type="dxa"/>
            <w:tcBorders>
              <w:top w:val="single" w:sz="4" w:space="0" w:color="auto"/>
              <w:left w:val="single" w:sz="4" w:space="0" w:color="auto"/>
              <w:bottom w:val="single" w:sz="4" w:space="0" w:color="auto"/>
              <w:right w:val="single" w:sz="4" w:space="0" w:color="auto"/>
            </w:tcBorders>
            <w:vAlign w:val="center"/>
          </w:tcPr>
          <w:p>
            <w:pPr>
              <w:jc w:val="center"/>
            </w:pPr>
            <w:r>
              <w:t>Déplacement</w:t>
            </w:r>
          </w:p>
        </w:tc>
        <w:tc>
          <w:tcPr>
            <w:tcW w:w="2410" w:type="dxa"/>
            <w:tcBorders>
              <w:top w:val="single" w:sz="4" w:space="0" w:color="auto"/>
              <w:left w:val="single" w:sz="4" w:space="0" w:color="auto"/>
              <w:bottom w:val="single" w:sz="4" w:space="0" w:color="auto"/>
              <w:right w:val="single" w:sz="4" w:space="0" w:color="auto"/>
            </w:tcBorders>
            <w:vAlign w:val="center"/>
          </w:tcPr>
          <w:p>
            <w:pPr>
              <w:jc w:val="center"/>
              <w:rPr>
                <w:rFonts w:cs="Calibri"/>
                <w:color w:val="000000"/>
              </w:rPr>
            </w:pPr>
            <w:r>
              <w:rPr>
                <w:rFonts w:cs="Calibri"/>
                <w:color w:val="000000"/>
              </w:rPr>
              <w:t>7</w:t>
            </w:r>
          </w:p>
        </w:tc>
      </w:tr>
      <w:tr>
        <w:trPr>
          <w:jc w:val="center"/>
        </w:trPr>
        <w:tc>
          <w:tcPr>
            <w:tcW w:w="0" w:type="auto"/>
            <w:vMerge/>
            <w:tcBorders>
              <w:left w:val="single" w:sz="4" w:space="0" w:color="auto"/>
              <w:right w:val="single" w:sz="4" w:space="0" w:color="auto"/>
            </w:tcBorders>
            <w:vAlign w:val="center"/>
            <w:hideMark/>
          </w:tcPr>
          <w:p>
            <w:pPr>
              <w:jc w:val="center"/>
            </w:pPr>
          </w:p>
        </w:tc>
        <w:tc>
          <w:tcPr>
            <w:tcW w:w="4674" w:type="dxa"/>
            <w:tcBorders>
              <w:top w:val="single" w:sz="4" w:space="0" w:color="auto"/>
              <w:left w:val="single" w:sz="4" w:space="0" w:color="auto"/>
              <w:bottom w:val="single" w:sz="4" w:space="0" w:color="auto"/>
              <w:right w:val="single" w:sz="4" w:space="0" w:color="auto"/>
            </w:tcBorders>
            <w:vAlign w:val="center"/>
          </w:tcPr>
          <w:p>
            <w:pPr>
              <w:jc w:val="center"/>
            </w:pPr>
            <w:r>
              <w:t>Dépôt</w:t>
            </w:r>
          </w:p>
        </w:tc>
        <w:tc>
          <w:tcPr>
            <w:tcW w:w="2410" w:type="dxa"/>
            <w:tcBorders>
              <w:top w:val="single" w:sz="4" w:space="0" w:color="auto"/>
              <w:left w:val="single" w:sz="4" w:space="0" w:color="auto"/>
              <w:bottom w:val="single" w:sz="4" w:space="0" w:color="auto"/>
              <w:right w:val="single" w:sz="4" w:space="0" w:color="auto"/>
            </w:tcBorders>
            <w:vAlign w:val="center"/>
          </w:tcPr>
          <w:p>
            <w:pPr>
              <w:jc w:val="center"/>
              <w:rPr>
                <w:rFonts w:cs="Calibri"/>
                <w:color w:val="000000"/>
              </w:rPr>
            </w:pPr>
            <w:r>
              <w:rPr>
                <w:rFonts w:cs="Calibri"/>
                <w:color w:val="000000"/>
              </w:rPr>
              <w:t>7</w:t>
            </w:r>
          </w:p>
        </w:tc>
      </w:tr>
      <w:tr>
        <w:trPr>
          <w:jc w:val="center"/>
        </w:trPr>
        <w:tc>
          <w:tcPr>
            <w:tcW w:w="1955" w:type="dxa"/>
            <w:vMerge w:val="restart"/>
            <w:tcBorders>
              <w:top w:val="single" w:sz="4" w:space="0" w:color="auto"/>
              <w:left w:val="single" w:sz="4" w:space="0" w:color="auto"/>
              <w:bottom w:val="single" w:sz="4" w:space="0" w:color="auto"/>
              <w:right w:val="single" w:sz="4" w:space="0" w:color="auto"/>
            </w:tcBorders>
            <w:vAlign w:val="center"/>
            <w:hideMark/>
          </w:tcPr>
          <w:p>
            <w:pPr>
              <w:jc w:val="center"/>
            </w:pPr>
            <w:r>
              <w:t>Amont STEU</w:t>
            </w:r>
          </w:p>
        </w:tc>
        <w:tc>
          <w:tcPr>
            <w:tcW w:w="4674" w:type="dxa"/>
            <w:tcBorders>
              <w:top w:val="single" w:sz="4" w:space="0" w:color="auto"/>
              <w:left w:val="single" w:sz="4" w:space="0" w:color="auto"/>
              <w:bottom w:val="single" w:sz="4" w:space="0" w:color="auto"/>
              <w:right w:val="single" w:sz="4" w:space="0" w:color="auto"/>
            </w:tcBorders>
            <w:vAlign w:val="center"/>
          </w:tcPr>
          <w:p>
            <w:pPr>
              <w:jc w:val="center"/>
            </w:pPr>
            <w:r>
              <w:t>Effondrement</w:t>
            </w:r>
          </w:p>
        </w:tc>
        <w:tc>
          <w:tcPr>
            <w:tcW w:w="2410" w:type="dxa"/>
            <w:tcBorders>
              <w:top w:val="single" w:sz="4" w:space="0" w:color="auto"/>
              <w:left w:val="single" w:sz="4" w:space="0" w:color="auto"/>
              <w:bottom w:val="single" w:sz="4" w:space="0" w:color="auto"/>
              <w:right w:val="single" w:sz="4" w:space="0" w:color="auto"/>
            </w:tcBorders>
            <w:vAlign w:val="center"/>
          </w:tcPr>
          <w:p>
            <w:pPr>
              <w:jc w:val="center"/>
              <w:rPr>
                <w:rFonts w:cs="Calibri"/>
                <w:color w:val="000000"/>
              </w:rPr>
            </w:pPr>
            <w:r>
              <w:rPr>
                <w:rFonts w:cs="Calibri"/>
                <w:color w:val="000000"/>
              </w:rPr>
              <w:t>1</w:t>
            </w:r>
          </w:p>
        </w:tc>
      </w:tr>
      <w:tr>
        <w:trPr>
          <w:jc w:val="center"/>
        </w:trPr>
        <w:tc>
          <w:tcPr>
            <w:tcW w:w="1955" w:type="dxa"/>
            <w:vMerge/>
            <w:tcBorders>
              <w:top w:val="single" w:sz="4" w:space="0" w:color="auto"/>
              <w:left w:val="single" w:sz="4" w:space="0" w:color="auto"/>
              <w:bottom w:val="single" w:sz="4" w:space="0" w:color="auto"/>
              <w:right w:val="single" w:sz="4" w:space="0" w:color="auto"/>
            </w:tcBorders>
            <w:vAlign w:val="center"/>
          </w:tcPr>
          <w:p>
            <w:pPr>
              <w:jc w:val="center"/>
            </w:pPr>
          </w:p>
        </w:tc>
        <w:tc>
          <w:tcPr>
            <w:tcW w:w="4674" w:type="dxa"/>
            <w:tcBorders>
              <w:top w:val="single" w:sz="4" w:space="0" w:color="auto"/>
              <w:left w:val="single" w:sz="4" w:space="0" w:color="auto"/>
              <w:bottom w:val="single" w:sz="4" w:space="0" w:color="auto"/>
              <w:right w:val="single" w:sz="4" w:space="0" w:color="auto"/>
            </w:tcBorders>
            <w:vAlign w:val="center"/>
          </w:tcPr>
          <w:p>
            <w:pPr>
              <w:jc w:val="center"/>
            </w:pPr>
            <w:r>
              <w:t>Joint défectueux</w:t>
            </w:r>
          </w:p>
        </w:tc>
        <w:tc>
          <w:tcPr>
            <w:tcW w:w="2410" w:type="dxa"/>
            <w:tcBorders>
              <w:top w:val="single" w:sz="4" w:space="0" w:color="auto"/>
              <w:left w:val="single" w:sz="4" w:space="0" w:color="auto"/>
              <w:bottom w:val="single" w:sz="4" w:space="0" w:color="auto"/>
              <w:right w:val="single" w:sz="4" w:space="0" w:color="auto"/>
            </w:tcBorders>
            <w:vAlign w:val="center"/>
          </w:tcPr>
          <w:p>
            <w:pPr>
              <w:jc w:val="center"/>
              <w:rPr>
                <w:rFonts w:cs="Calibri"/>
                <w:color w:val="000000"/>
              </w:rPr>
            </w:pPr>
            <w:r>
              <w:rPr>
                <w:rFonts w:cs="Calibri"/>
                <w:color w:val="000000"/>
              </w:rPr>
              <w:t>1</w:t>
            </w:r>
          </w:p>
        </w:tc>
      </w:tr>
      <w:tr>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pPr>
              <w:jc w:val="center"/>
              <w:rPr>
                <w:color w:val="000000"/>
              </w:rPr>
            </w:pPr>
          </w:p>
        </w:tc>
        <w:tc>
          <w:tcPr>
            <w:tcW w:w="4674" w:type="dxa"/>
            <w:tcBorders>
              <w:top w:val="single" w:sz="4" w:space="0" w:color="auto"/>
              <w:left w:val="single" w:sz="4" w:space="0" w:color="auto"/>
              <w:bottom w:val="single" w:sz="4" w:space="0" w:color="auto"/>
              <w:right w:val="single" w:sz="4" w:space="0" w:color="auto"/>
            </w:tcBorders>
            <w:vAlign w:val="center"/>
          </w:tcPr>
          <w:p>
            <w:pPr>
              <w:jc w:val="center"/>
            </w:pPr>
            <w:r>
              <w:t>Dépôt</w:t>
            </w:r>
          </w:p>
        </w:tc>
        <w:tc>
          <w:tcPr>
            <w:tcW w:w="2410" w:type="dxa"/>
            <w:tcBorders>
              <w:top w:val="single" w:sz="4" w:space="0" w:color="auto"/>
              <w:left w:val="single" w:sz="4" w:space="0" w:color="auto"/>
              <w:bottom w:val="single" w:sz="4" w:space="0" w:color="auto"/>
              <w:right w:val="single" w:sz="4" w:space="0" w:color="auto"/>
            </w:tcBorders>
            <w:vAlign w:val="center"/>
          </w:tcPr>
          <w:p>
            <w:pPr>
              <w:jc w:val="center"/>
              <w:rPr>
                <w:rFonts w:cs="Calibri"/>
                <w:color w:val="000000"/>
              </w:rPr>
            </w:pPr>
            <w:r>
              <w:rPr>
                <w:rFonts w:cs="Calibri"/>
                <w:color w:val="000000"/>
              </w:rPr>
              <w:t>2</w:t>
            </w:r>
          </w:p>
        </w:tc>
      </w:tr>
      <w:tr>
        <w:trPr>
          <w:jc w:val="center"/>
        </w:trPr>
        <w:tc>
          <w:tcPr>
            <w:tcW w:w="1955" w:type="dxa"/>
            <w:vMerge w:val="restart"/>
            <w:tcBorders>
              <w:top w:val="single" w:sz="4" w:space="0" w:color="auto"/>
              <w:left w:val="single" w:sz="4" w:space="0" w:color="auto"/>
              <w:bottom w:val="single" w:sz="4" w:space="0" w:color="auto"/>
              <w:right w:val="single" w:sz="4" w:space="0" w:color="auto"/>
            </w:tcBorders>
            <w:vAlign w:val="center"/>
            <w:hideMark/>
          </w:tcPr>
          <w:p>
            <w:pPr>
              <w:jc w:val="center"/>
              <w:rPr>
                <w:color w:val="000000"/>
              </w:rPr>
            </w:pPr>
            <w:r>
              <w:t>TOTAL</w:t>
            </w:r>
          </w:p>
        </w:tc>
        <w:tc>
          <w:tcPr>
            <w:tcW w:w="4674" w:type="dxa"/>
            <w:tcBorders>
              <w:top w:val="single" w:sz="4" w:space="0" w:color="auto"/>
              <w:left w:val="single" w:sz="4" w:space="0" w:color="auto"/>
              <w:bottom w:val="single" w:sz="4" w:space="0" w:color="auto"/>
              <w:right w:val="single" w:sz="4" w:space="0" w:color="auto"/>
            </w:tcBorders>
            <w:vAlign w:val="center"/>
          </w:tcPr>
          <w:p>
            <w:pPr>
              <w:jc w:val="center"/>
              <w:rPr>
                <w:color w:val="000000"/>
              </w:rPr>
            </w:pPr>
            <w:r>
              <w:t>Infiltration</w:t>
            </w:r>
          </w:p>
        </w:tc>
        <w:tc>
          <w:tcPr>
            <w:tcW w:w="2410" w:type="dxa"/>
            <w:tcBorders>
              <w:top w:val="single" w:sz="4" w:space="0" w:color="auto"/>
              <w:left w:val="single" w:sz="4" w:space="0" w:color="auto"/>
              <w:bottom w:val="single" w:sz="4" w:space="0" w:color="auto"/>
              <w:right w:val="single" w:sz="4" w:space="0" w:color="auto"/>
            </w:tcBorders>
            <w:vAlign w:val="center"/>
          </w:tcPr>
          <w:p>
            <w:pPr>
              <w:jc w:val="center"/>
              <w:rPr>
                <w:rFonts w:cs="Calibri"/>
                <w:color w:val="000000"/>
              </w:rPr>
            </w:pPr>
            <w:r>
              <w:rPr>
                <w:rFonts w:cs="Calibri"/>
                <w:color w:val="000000"/>
              </w:rPr>
              <w:t>3</w:t>
            </w:r>
          </w:p>
        </w:tc>
      </w:tr>
      <w:tr>
        <w:trPr>
          <w:jc w:val="center"/>
        </w:trPr>
        <w:tc>
          <w:tcPr>
            <w:tcW w:w="1955" w:type="dxa"/>
            <w:vMerge/>
            <w:tcBorders>
              <w:top w:val="single" w:sz="4" w:space="0" w:color="auto"/>
              <w:left w:val="single" w:sz="4" w:space="0" w:color="auto"/>
              <w:bottom w:val="single" w:sz="4" w:space="0" w:color="auto"/>
              <w:right w:val="single" w:sz="4" w:space="0" w:color="auto"/>
            </w:tcBorders>
            <w:vAlign w:val="center"/>
          </w:tcPr>
          <w:p>
            <w:pPr>
              <w:jc w:val="center"/>
            </w:pPr>
          </w:p>
        </w:tc>
        <w:tc>
          <w:tcPr>
            <w:tcW w:w="4674" w:type="dxa"/>
            <w:tcBorders>
              <w:top w:val="single" w:sz="4" w:space="0" w:color="auto"/>
              <w:left w:val="single" w:sz="4" w:space="0" w:color="auto"/>
              <w:bottom w:val="single" w:sz="4" w:space="0" w:color="auto"/>
              <w:right w:val="single" w:sz="4" w:space="0" w:color="auto"/>
            </w:tcBorders>
            <w:vAlign w:val="center"/>
          </w:tcPr>
          <w:p>
            <w:pPr>
              <w:jc w:val="center"/>
            </w:pPr>
            <w:r>
              <w:t>Racines</w:t>
            </w:r>
          </w:p>
        </w:tc>
        <w:tc>
          <w:tcPr>
            <w:tcW w:w="2410" w:type="dxa"/>
            <w:tcBorders>
              <w:top w:val="single" w:sz="4" w:space="0" w:color="auto"/>
              <w:left w:val="single" w:sz="4" w:space="0" w:color="auto"/>
              <w:bottom w:val="single" w:sz="4" w:space="0" w:color="auto"/>
              <w:right w:val="single" w:sz="4" w:space="0" w:color="auto"/>
            </w:tcBorders>
            <w:vAlign w:val="center"/>
          </w:tcPr>
          <w:p>
            <w:pPr>
              <w:jc w:val="center"/>
              <w:rPr>
                <w:rFonts w:cs="Calibri"/>
                <w:color w:val="000000"/>
              </w:rPr>
            </w:pPr>
            <w:r>
              <w:rPr>
                <w:rFonts w:cs="Calibri"/>
                <w:color w:val="000000"/>
              </w:rPr>
              <w:t>4</w:t>
            </w:r>
          </w:p>
        </w:tc>
      </w:tr>
      <w:tr>
        <w:trPr>
          <w:jc w:val="center"/>
        </w:trPr>
        <w:tc>
          <w:tcPr>
            <w:tcW w:w="1955" w:type="dxa"/>
            <w:vMerge/>
            <w:tcBorders>
              <w:top w:val="single" w:sz="4" w:space="0" w:color="auto"/>
              <w:left w:val="single" w:sz="4" w:space="0" w:color="auto"/>
              <w:bottom w:val="single" w:sz="4" w:space="0" w:color="auto"/>
              <w:right w:val="single" w:sz="4" w:space="0" w:color="auto"/>
            </w:tcBorders>
            <w:vAlign w:val="center"/>
          </w:tcPr>
          <w:p>
            <w:pPr>
              <w:jc w:val="center"/>
            </w:pPr>
          </w:p>
        </w:tc>
        <w:tc>
          <w:tcPr>
            <w:tcW w:w="4674" w:type="dxa"/>
            <w:tcBorders>
              <w:top w:val="single" w:sz="4" w:space="0" w:color="auto"/>
              <w:left w:val="single" w:sz="4" w:space="0" w:color="auto"/>
              <w:bottom w:val="single" w:sz="4" w:space="0" w:color="auto"/>
              <w:right w:val="single" w:sz="4" w:space="0" w:color="auto"/>
            </w:tcBorders>
            <w:vAlign w:val="center"/>
          </w:tcPr>
          <w:p>
            <w:pPr>
              <w:jc w:val="center"/>
            </w:pPr>
            <w:r>
              <w:t>Effondrement</w:t>
            </w:r>
          </w:p>
        </w:tc>
        <w:tc>
          <w:tcPr>
            <w:tcW w:w="2410" w:type="dxa"/>
            <w:tcBorders>
              <w:top w:val="single" w:sz="4" w:space="0" w:color="auto"/>
              <w:left w:val="single" w:sz="4" w:space="0" w:color="auto"/>
              <w:bottom w:val="single" w:sz="4" w:space="0" w:color="auto"/>
              <w:right w:val="single" w:sz="4" w:space="0" w:color="auto"/>
            </w:tcBorders>
            <w:vAlign w:val="center"/>
          </w:tcPr>
          <w:p>
            <w:pPr>
              <w:jc w:val="center"/>
              <w:rPr>
                <w:rFonts w:cs="Calibri"/>
                <w:color w:val="000000"/>
              </w:rPr>
            </w:pPr>
            <w:r>
              <w:rPr>
                <w:rFonts w:cs="Calibri"/>
                <w:color w:val="000000"/>
              </w:rPr>
              <w:t>13</w:t>
            </w:r>
          </w:p>
        </w:tc>
      </w:tr>
      <w:tr>
        <w:trPr>
          <w:jc w:val="center"/>
        </w:trPr>
        <w:tc>
          <w:tcPr>
            <w:tcW w:w="1955" w:type="dxa"/>
            <w:vMerge/>
            <w:tcBorders>
              <w:top w:val="single" w:sz="4" w:space="0" w:color="auto"/>
              <w:left w:val="single" w:sz="4" w:space="0" w:color="auto"/>
              <w:bottom w:val="single" w:sz="4" w:space="0" w:color="auto"/>
              <w:right w:val="single" w:sz="4" w:space="0" w:color="auto"/>
            </w:tcBorders>
            <w:vAlign w:val="center"/>
          </w:tcPr>
          <w:p>
            <w:pPr>
              <w:jc w:val="center"/>
            </w:pPr>
          </w:p>
        </w:tc>
        <w:tc>
          <w:tcPr>
            <w:tcW w:w="4674" w:type="dxa"/>
            <w:tcBorders>
              <w:top w:val="single" w:sz="4" w:space="0" w:color="auto"/>
              <w:left w:val="single" w:sz="4" w:space="0" w:color="auto"/>
              <w:bottom w:val="single" w:sz="4" w:space="0" w:color="auto"/>
              <w:right w:val="single" w:sz="4" w:space="0" w:color="auto"/>
            </w:tcBorders>
            <w:vAlign w:val="center"/>
          </w:tcPr>
          <w:p>
            <w:pPr>
              <w:jc w:val="center"/>
            </w:pPr>
            <w:r>
              <w:t>Fissure</w:t>
            </w:r>
          </w:p>
        </w:tc>
        <w:tc>
          <w:tcPr>
            <w:tcW w:w="2410" w:type="dxa"/>
            <w:tcBorders>
              <w:top w:val="single" w:sz="4" w:space="0" w:color="auto"/>
              <w:left w:val="single" w:sz="4" w:space="0" w:color="auto"/>
              <w:bottom w:val="single" w:sz="4" w:space="0" w:color="auto"/>
              <w:right w:val="single" w:sz="4" w:space="0" w:color="auto"/>
            </w:tcBorders>
            <w:vAlign w:val="center"/>
          </w:tcPr>
          <w:p>
            <w:pPr>
              <w:jc w:val="center"/>
              <w:rPr>
                <w:rFonts w:cs="Calibri"/>
                <w:color w:val="000000"/>
              </w:rPr>
            </w:pPr>
            <w:r>
              <w:rPr>
                <w:rFonts w:cs="Calibri"/>
                <w:color w:val="000000"/>
              </w:rPr>
              <w:t>9</w:t>
            </w:r>
          </w:p>
        </w:tc>
      </w:tr>
      <w:tr>
        <w:trPr>
          <w:jc w:val="center"/>
        </w:trPr>
        <w:tc>
          <w:tcPr>
            <w:tcW w:w="1955" w:type="dxa"/>
            <w:vMerge/>
            <w:tcBorders>
              <w:top w:val="single" w:sz="4" w:space="0" w:color="auto"/>
              <w:left w:val="single" w:sz="4" w:space="0" w:color="auto"/>
              <w:bottom w:val="single" w:sz="4" w:space="0" w:color="auto"/>
              <w:right w:val="single" w:sz="4" w:space="0" w:color="auto"/>
            </w:tcBorders>
            <w:vAlign w:val="center"/>
          </w:tcPr>
          <w:p>
            <w:pPr>
              <w:jc w:val="center"/>
            </w:pPr>
          </w:p>
        </w:tc>
        <w:tc>
          <w:tcPr>
            <w:tcW w:w="4674" w:type="dxa"/>
            <w:tcBorders>
              <w:top w:val="single" w:sz="4" w:space="0" w:color="auto"/>
              <w:left w:val="single" w:sz="4" w:space="0" w:color="auto"/>
              <w:bottom w:val="single" w:sz="4" w:space="0" w:color="auto"/>
              <w:right w:val="single" w:sz="4" w:space="0" w:color="auto"/>
            </w:tcBorders>
            <w:vAlign w:val="center"/>
          </w:tcPr>
          <w:p>
            <w:pPr>
              <w:jc w:val="center"/>
            </w:pPr>
            <w:r>
              <w:t>Joint défectueux</w:t>
            </w:r>
          </w:p>
        </w:tc>
        <w:tc>
          <w:tcPr>
            <w:tcW w:w="2410" w:type="dxa"/>
            <w:tcBorders>
              <w:top w:val="single" w:sz="4" w:space="0" w:color="auto"/>
              <w:left w:val="single" w:sz="4" w:space="0" w:color="auto"/>
              <w:bottom w:val="single" w:sz="4" w:space="0" w:color="auto"/>
              <w:right w:val="single" w:sz="4" w:space="0" w:color="auto"/>
            </w:tcBorders>
            <w:vAlign w:val="center"/>
          </w:tcPr>
          <w:p>
            <w:pPr>
              <w:jc w:val="center"/>
              <w:rPr>
                <w:rFonts w:cs="Calibri"/>
                <w:color w:val="000000"/>
              </w:rPr>
            </w:pPr>
            <w:r>
              <w:rPr>
                <w:rFonts w:cs="Calibri"/>
                <w:color w:val="000000"/>
              </w:rPr>
              <w:t>9</w:t>
            </w:r>
          </w:p>
        </w:tc>
      </w:tr>
      <w:tr>
        <w:trPr>
          <w:jc w:val="center"/>
        </w:trPr>
        <w:tc>
          <w:tcPr>
            <w:tcW w:w="1955" w:type="dxa"/>
            <w:vMerge/>
            <w:tcBorders>
              <w:top w:val="single" w:sz="4" w:space="0" w:color="auto"/>
              <w:left w:val="single" w:sz="4" w:space="0" w:color="auto"/>
              <w:bottom w:val="single" w:sz="4" w:space="0" w:color="auto"/>
              <w:right w:val="single" w:sz="4" w:space="0" w:color="auto"/>
            </w:tcBorders>
            <w:vAlign w:val="center"/>
          </w:tcPr>
          <w:p>
            <w:pPr>
              <w:jc w:val="center"/>
            </w:pPr>
          </w:p>
        </w:tc>
        <w:tc>
          <w:tcPr>
            <w:tcW w:w="4674" w:type="dxa"/>
            <w:tcBorders>
              <w:top w:val="single" w:sz="4" w:space="0" w:color="auto"/>
              <w:left w:val="single" w:sz="4" w:space="0" w:color="auto"/>
              <w:bottom w:val="single" w:sz="4" w:space="0" w:color="auto"/>
              <w:right w:val="single" w:sz="4" w:space="0" w:color="auto"/>
            </w:tcBorders>
            <w:vAlign w:val="center"/>
          </w:tcPr>
          <w:p>
            <w:pPr>
              <w:jc w:val="center"/>
            </w:pPr>
            <w:r>
              <w:t>Déformation</w:t>
            </w:r>
          </w:p>
        </w:tc>
        <w:tc>
          <w:tcPr>
            <w:tcW w:w="2410" w:type="dxa"/>
            <w:tcBorders>
              <w:top w:val="single" w:sz="4" w:space="0" w:color="auto"/>
              <w:left w:val="single" w:sz="4" w:space="0" w:color="auto"/>
              <w:bottom w:val="single" w:sz="4" w:space="0" w:color="auto"/>
              <w:right w:val="single" w:sz="4" w:space="0" w:color="auto"/>
            </w:tcBorders>
            <w:vAlign w:val="center"/>
          </w:tcPr>
          <w:p>
            <w:pPr>
              <w:jc w:val="center"/>
              <w:rPr>
                <w:rFonts w:cs="Calibri"/>
                <w:color w:val="000000"/>
              </w:rPr>
            </w:pPr>
            <w:r>
              <w:rPr>
                <w:rFonts w:cs="Calibri"/>
                <w:color w:val="000000"/>
              </w:rPr>
              <w:t>11</w:t>
            </w:r>
          </w:p>
        </w:tc>
      </w:tr>
      <w:tr>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pPr>
              <w:jc w:val="center"/>
              <w:rPr>
                <w:color w:val="000000"/>
              </w:rPr>
            </w:pPr>
          </w:p>
        </w:tc>
        <w:tc>
          <w:tcPr>
            <w:tcW w:w="4674" w:type="dxa"/>
            <w:tcBorders>
              <w:top w:val="single" w:sz="4" w:space="0" w:color="auto"/>
              <w:left w:val="single" w:sz="4" w:space="0" w:color="auto"/>
              <w:bottom w:val="single" w:sz="4" w:space="0" w:color="auto"/>
              <w:right w:val="single" w:sz="4" w:space="0" w:color="auto"/>
            </w:tcBorders>
            <w:vAlign w:val="center"/>
          </w:tcPr>
          <w:p>
            <w:pPr>
              <w:jc w:val="center"/>
            </w:pPr>
            <w:r>
              <w:t>Déplacement</w:t>
            </w:r>
          </w:p>
        </w:tc>
        <w:tc>
          <w:tcPr>
            <w:tcW w:w="2410" w:type="dxa"/>
            <w:tcBorders>
              <w:top w:val="single" w:sz="4" w:space="0" w:color="auto"/>
              <w:left w:val="single" w:sz="4" w:space="0" w:color="auto"/>
              <w:bottom w:val="single" w:sz="4" w:space="0" w:color="auto"/>
              <w:right w:val="single" w:sz="4" w:space="0" w:color="auto"/>
            </w:tcBorders>
            <w:vAlign w:val="center"/>
          </w:tcPr>
          <w:p>
            <w:pPr>
              <w:jc w:val="center"/>
              <w:rPr>
                <w:rFonts w:cs="Calibri"/>
                <w:color w:val="000000"/>
              </w:rPr>
            </w:pPr>
            <w:r>
              <w:rPr>
                <w:rFonts w:cs="Calibri"/>
                <w:color w:val="000000"/>
              </w:rPr>
              <w:t>7</w:t>
            </w:r>
          </w:p>
        </w:tc>
      </w:tr>
      <w:tr>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pPr>
              <w:jc w:val="center"/>
              <w:rPr>
                <w:color w:val="000000"/>
              </w:rPr>
            </w:pPr>
          </w:p>
        </w:tc>
        <w:tc>
          <w:tcPr>
            <w:tcW w:w="4674" w:type="dxa"/>
            <w:tcBorders>
              <w:top w:val="single" w:sz="4" w:space="0" w:color="auto"/>
              <w:left w:val="single" w:sz="4" w:space="0" w:color="auto"/>
              <w:bottom w:val="single" w:sz="4" w:space="0" w:color="auto"/>
              <w:right w:val="single" w:sz="4" w:space="0" w:color="auto"/>
            </w:tcBorders>
            <w:vAlign w:val="center"/>
          </w:tcPr>
          <w:p>
            <w:pPr>
              <w:jc w:val="center"/>
            </w:pPr>
            <w:r>
              <w:t>Dépôt</w:t>
            </w:r>
          </w:p>
        </w:tc>
        <w:tc>
          <w:tcPr>
            <w:tcW w:w="2410" w:type="dxa"/>
            <w:tcBorders>
              <w:top w:val="single" w:sz="4" w:space="0" w:color="auto"/>
              <w:left w:val="single" w:sz="4" w:space="0" w:color="auto"/>
              <w:bottom w:val="single" w:sz="4" w:space="0" w:color="auto"/>
              <w:right w:val="single" w:sz="4" w:space="0" w:color="auto"/>
            </w:tcBorders>
            <w:vAlign w:val="center"/>
          </w:tcPr>
          <w:p>
            <w:pPr>
              <w:jc w:val="center"/>
              <w:rPr>
                <w:rFonts w:cs="Calibri"/>
                <w:color w:val="000000"/>
              </w:rPr>
            </w:pPr>
            <w:r>
              <w:rPr>
                <w:rFonts w:cs="Calibri"/>
                <w:color w:val="000000"/>
              </w:rPr>
              <w:t>10</w:t>
            </w:r>
          </w:p>
        </w:tc>
      </w:tr>
    </w:tbl>
    <w:p>
      <w:bookmarkStart w:id="26" w:name="_Toc71553030"/>
      <w:r>
        <w:t xml:space="preserve">      Synthèse des différentes anomalies rencontrées lors du passage caméra</w:t>
      </w:r>
      <w:bookmarkEnd w:id="26"/>
    </w:p>
    <w:p/>
    <w:p/>
    <w:p/>
    <w:p>
      <w:pPr>
        <w:pStyle w:val="Titre1"/>
        <w:numPr>
          <w:ilvl w:val="0"/>
          <w:numId w:val="0"/>
        </w:numPr>
        <w:pBdr>
          <w:bottom w:val="single" w:sz="12" w:space="4" w:color="0070C0"/>
        </w:pBdr>
      </w:pPr>
      <w:bookmarkStart w:id="27" w:name="_Toc92353825"/>
      <w:r>
        <w:lastRenderedPageBreak/>
        <w:t>2. Scenarios sur la collecte et le traitement des eaux usées</w:t>
      </w:r>
      <w:bookmarkEnd w:id="24"/>
      <w:bookmarkEnd w:id="25"/>
      <w:bookmarkEnd w:id="27"/>
    </w:p>
    <w:p>
      <w:pPr>
        <w:pStyle w:val="Titre2"/>
        <w:numPr>
          <w:ilvl w:val="0"/>
          <w:numId w:val="0"/>
        </w:numPr>
        <w:ind w:left="576" w:hanging="576"/>
      </w:pPr>
      <w:bookmarkStart w:id="28" w:name="_Toc46480265"/>
      <w:bookmarkStart w:id="29" w:name="_Ref56517793"/>
      <w:bookmarkStart w:id="30" w:name="_Toc92353826"/>
      <w:r>
        <w:t xml:space="preserve">2.1. </w:t>
      </w:r>
      <w:bookmarkEnd w:id="28"/>
      <w:bookmarkEnd w:id="29"/>
      <w:r>
        <w:t>Zonage d’assainissement</w:t>
      </w:r>
      <w:bookmarkEnd w:id="30"/>
    </w:p>
    <w:p>
      <w:r>
        <w:rPr>
          <w:noProof/>
        </w:rPr>
        <mc:AlternateContent>
          <mc:Choice Requires="wps">
            <w:drawing>
              <wp:anchor distT="0" distB="0" distL="114300" distR="114300" simplePos="0" relativeHeight="251362304" behindDoc="0" locked="0" layoutInCell="1" allowOverlap="1">
                <wp:simplePos x="0" y="0"/>
                <wp:positionH relativeFrom="column">
                  <wp:posOffset>562800</wp:posOffset>
                </wp:positionH>
                <wp:positionV relativeFrom="paragraph">
                  <wp:posOffset>973919</wp:posOffset>
                </wp:positionV>
                <wp:extent cx="61414" cy="716508"/>
                <wp:effectExtent l="19050" t="0" r="53340" b="64770"/>
                <wp:wrapNone/>
                <wp:docPr id="1373" name="Connecteur droit avec flèche 1373"/>
                <wp:cNvGraphicFramePr/>
                <a:graphic xmlns:a="http://schemas.openxmlformats.org/drawingml/2006/main">
                  <a:graphicData uri="http://schemas.microsoft.com/office/word/2010/wordprocessingShape">
                    <wps:wsp>
                      <wps:cNvCnPr/>
                      <wps:spPr>
                        <a:xfrm>
                          <a:off x="0" y="0"/>
                          <a:ext cx="61414" cy="716508"/>
                        </a:xfrm>
                        <a:prstGeom prst="straightConnector1">
                          <a:avLst/>
                        </a:prstGeom>
                        <a:ln w="19050">
                          <a:solidFill>
                            <a:schemeClr val="bg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Connecteur droit avec flèche 1373" o:spid="_x0000_s1026" type="#_x0000_t32" style="position:absolute;margin-left:44.3pt;margin-top:76.7pt;width:4.85pt;height:56.4pt;z-index:25136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" strokecolor="white [3212]" strokeweight="1.5pt">
                <v:stroke endarrow="block"/>
              </v:shape>
            </w:pict>
          </mc:Fallback>
        </mc:AlternateContent>
      </w:r>
      <w:r>
        <w:rPr>
          <w:noProof/>
        </w:rPr>
        <mc:AlternateContent>
          <mc:Choice Requires="wps">
            <w:drawing>
              <wp:anchor distT="0" distB="0" distL="114300" distR="114300" simplePos="0" relativeHeight="251460608" behindDoc="0" locked="0" layoutInCell="1" allowOverlap="1">
                <wp:simplePos x="0" y="0"/>
                <wp:positionH relativeFrom="column">
                  <wp:posOffset>64656</wp:posOffset>
                </wp:positionH>
                <wp:positionV relativeFrom="paragraph">
                  <wp:posOffset>448481</wp:posOffset>
                </wp:positionV>
                <wp:extent cx="907576" cy="716507"/>
                <wp:effectExtent l="0" t="0" r="0" b="7620"/>
                <wp:wrapNone/>
                <wp:docPr id="1501" name="Zone de texte 1501"/>
                <wp:cNvGraphicFramePr/>
                <a:graphic xmlns:a="http://schemas.openxmlformats.org/drawingml/2006/main">
                  <a:graphicData uri="http://schemas.microsoft.com/office/word/2010/wordprocessingShape">
                    <wps:wsp>
                      <wps:cNvSpPr txBox="1"/>
                      <wps:spPr>
                        <a:xfrm>
                          <a:off x="0" y="0"/>
                          <a:ext cx="907576" cy="71650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b/>
                                <w:color w:val="FFFFFF" w:themeColor="background1"/>
                              </w:rPr>
                            </w:pPr>
                            <w:r>
                              <w:rPr>
                                <w:b/>
                                <w:color w:val="FFFFFF" w:themeColor="background1"/>
                              </w:rPr>
                              <w:t xml:space="preserve">Zone 2 </w:t>
                            </w:r>
                            <w:proofErr w:type="spellStart"/>
                            <w:r>
                              <w:rPr>
                                <w:b/>
                                <w:color w:val="FFFFFF" w:themeColor="background1"/>
                              </w:rPr>
                              <w:t>AUEt</w:t>
                            </w:r>
                            <w:proofErr w:type="spellEnd"/>
                            <w:r>
                              <w:rPr>
                                <w:b/>
                                <w:color w:val="FFFFFF" w:themeColor="background1"/>
                              </w:rPr>
                              <w:t xml:space="preserve"> – Les Grandes Terres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1501" o:spid="_x0000_s1035" type="#_x0000_t202" style="position:absolute;left:0;text-align:left;margin-left:5.1pt;margin-top:35.3pt;width:71.45pt;height:56.4pt;z-index:251460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" filled="f" stroked="f" strokeweight=".5pt">
                <v:textbox>
                  <w:txbxContent>
                    <w:p>
                      <w:pPr>
                        <w:rPr>
                          <w:b/>
                          <w:color w:val="FFFFFF" w:themeColor="background1"/>
                        </w:rPr>
                      </w:pPr>
                      <w:r>
                        <w:rPr>
                          <w:b/>
                          <w:color w:val="FFFFFF" w:themeColor="background1"/>
                        </w:rPr>
                        <w:t xml:space="preserve">Zone 2 </w:t>
                      </w:r>
                      <w:proofErr w:type="spellStart"/>
                      <w:r>
                        <w:rPr>
                          <w:b/>
                          <w:color w:val="FFFFFF" w:themeColor="background1"/>
                        </w:rPr>
                        <w:t>AUEt</w:t>
                      </w:r>
                      <w:proofErr w:type="spellEnd"/>
                      <w:r>
                        <w:rPr>
                          <w:b/>
                          <w:color w:val="FFFFFF" w:themeColor="background1"/>
                        </w:rPr>
                        <w:t xml:space="preserve"> – Les Grandes Terres</w:t>
                      </w:r>
                    </w:p>
                  </w:txbxContent>
                </v:textbox>
              </v:shape>
            </w:pict>
          </mc:Fallback>
        </mc:AlternateContent>
      </w:r>
      <w:r>
        <w:rPr>
          <w:noProof/>
        </w:rPr>
        <mc:AlternateContent>
          <mc:Choice Requires="wps">
            <w:drawing>
              <wp:anchor distT="0" distB="0" distL="114300" distR="114300" simplePos="0" relativeHeight="251411456" behindDoc="0" locked="0" layoutInCell="1" allowOverlap="1">
                <wp:simplePos x="0" y="0"/>
                <wp:positionH relativeFrom="column">
                  <wp:posOffset>1947119</wp:posOffset>
                </wp:positionH>
                <wp:positionV relativeFrom="paragraph">
                  <wp:posOffset>339299</wp:posOffset>
                </wp:positionV>
                <wp:extent cx="1147056" cy="35560"/>
                <wp:effectExtent l="38100" t="38100" r="15240" b="97790"/>
                <wp:wrapNone/>
                <wp:docPr id="249" name="Connecteur droit avec flèche 249"/>
                <wp:cNvGraphicFramePr/>
                <a:graphic xmlns:a="http://schemas.openxmlformats.org/drawingml/2006/main">
                  <a:graphicData uri="http://schemas.microsoft.com/office/word/2010/wordprocessingShape">
                    <wps:wsp>
                      <wps:cNvCnPr/>
                      <wps:spPr>
                        <a:xfrm flipH="1">
                          <a:off x="0" y="0"/>
                          <a:ext cx="1147056" cy="35560"/>
                        </a:xfrm>
                        <a:prstGeom prst="straightConnector1">
                          <a:avLst/>
                        </a:prstGeom>
                        <a:ln w="19050">
                          <a:solidFill>
                            <a:schemeClr val="bg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Connecteur droit avec flèche 249" o:spid="_x0000_s1026" type="#_x0000_t32" style="position:absolute;margin-left:153.3pt;margin-top:26.7pt;width:90.3pt;height:2.8pt;flip:x;z-index:25141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" strokecolor="white [3212]" strokeweight="1.5pt">
                <v:stroke endarrow="block"/>
              </v:shape>
            </w:pict>
          </mc:Fallback>
        </mc:AlternateContent>
      </w:r>
      <w:r>
        <w:rPr>
          <w:noProof/>
        </w:rPr>
        <mc:AlternateContent>
          <mc:Choice Requires="wps">
            <w:drawing>
              <wp:anchor distT="0" distB="0" distL="114300" distR="114300" simplePos="0" relativeHeight="251350016" behindDoc="0" locked="0" layoutInCell="1" allowOverlap="1">
                <wp:simplePos x="0" y="0"/>
                <wp:positionH relativeFrom="column">
                  <wp:posOffset>3061970</wp:posOffset>
                </wp:positionH>
                <wp:positionV relativeFrom="paragraph">
                  <wp:posOffset>119380</wp:posOffset>
                </wp:positionV>
                <wp:extent cx="946150" cy="327660"/>
                <wp:effectExtent l="0" t="0" r="0" b="0"/>
                <wp:wrapNone/>
                <wp:docPr id="26" name="Zone de texte 26"/>
                <wp:cNvGraphicFramePr/>
                <a:graphic xmlns:a="http://schemas.openxmlformats.org/drawingml/2006/main">
                  <a:graphicData uri="http://schemas.microsoft.com/office/word/2010/wordprocessingShape">
                    <wps:wsp>
                      <wps:cNvSpPr txBox="1"/>
                      <wps:spPr>
                        <a:xfrm>
                          <a:off x="0" y="0"/>
                          <a:ext cx="946150" cy="3276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b/>
                                <w:color w:val="FFFFFF" w:themeColor="background1"/>
                              </w:rPr>
                            </w:pPr>
                            <w:r>
                              <w:rPr>
                                <w:b/>
                                <w:color w:val="FFFFFF" w:themeColor="background1"/>
                              </w:rPr>
                              <w:t xml:space="preserve">Zone 2 </w:t>
                            </w:r>
                            <w:proofErr w:type="spellStart"/>
                            <w:r>
                              <w:rPr>
                                <w:b/>
                                <w:color w:val="FFFFFF" w:themeColor="background1"/>
                              </w:rPr>
                              <w:t>AUEc</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26" o:spid="_x0000_s1036" type="#_x0000_t202" style="position:absolute;left:0;text-align:left;margin-left:241.1pt;margin-top:9.4pt;width:74.5pt;height:25.8pt;z-index:25135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" filled="f" stroked="f" strokeweight=".5pt">
                <v:textbox>
                  <w:txbxContent>
                    <w:p>
                      <w:pPr>
                        <w:rPr>
                          <w:b/>
                          <w:color w:val="FFFFFF" w:themeColor="background1"/>
                        </w:rPr>
                      </w:pPr>
                      <w:r>
                        <w:rPr>
                          <w:b/>
                          <w:color w:val="FFFFFF" w:themeColor="background1"/>
                        </w:rPr>
                        <w:t xml:space="preserve">Zone 2 </w:t>
                      </w:r>
                      <w:proofErr w:type="spellStart"/>
                      <w:r>
                        <w:rPr>
                          <w:b/>
                          <w:color w:val="FFFFFF" w:themeColor="background1"/>
                        </w:rPr>
                        <w:t>AUEc</w:t>
                      </w:r>
                      <w:proofErr w:type="spellEnd"/>
                    </w:p>
                  </w:txbxContent>
                </v:textbox>
              </v:shape>
            </w:pict>
          </mc:Fallback>
        </mc:AlternateContent>
      </w:r>
      <w:r>
        <w:rPr>
          <w:noProof/>
        </w:rPr>
        <mc:AlternateContent>
          <mc:Choice Requires="wps">
            <w:drawing>
              <wp:anchor distT="0" distB="0" distL="114300" distR="114300" simplePos="0" relativeHeight="251423744" behindDoc="0" locked="0" layoutInCell="1" allowOverlap="1">
                <wp:simplePos x="0" y="0"/>
                <wp:positionH relativeFrom="column">
                  <wp:posOffset>3094460</wp:posOffset>
                </wp:positionH>
                <wp:positionV relativeFrom="paragraph">
                  <wp:posOffset>1294642</wp:posOffset>
                </wp:positionV>
                <wp:extent cx="1050877" cy="177421"/>
                <wp:effectExtent l="38100" t="0" r="16510" b="89535"/>
                <wp:wrapNone/>
                <wp:docPr id="250" name="Connecteur droit avec flèche 250"/>
                <wp:cNvGraphicFramePr/>
                <a:graphic xmlns:a="http://schemas.openxmlformats.org/drawingml/2006/main">
                  <a:graphicData uri="http://schemas.microsoft.com/office/word/2010/wordprocessingShape">
                    <wps:wsp>
                      <wps:cNvCnPr/>
                      <wps:spPr>
                        <a:xfrm flipH="1">
                          <a:off x="0" y="0"/>
                          <a:ext cx="1050877" cy="177421"/>
                        </a:xfrm>
                        <a:prstGeom prst="straightConnector1">
                          <a:avLst/>
                        </a:prstGeom>
                        <a:ln w="19050">
                          <a:solidFill>
                            <a:schemeClr val="bg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Connecteur droit avec flèche 250" o:spid="_x0000_s1026" type="#_x0000_t32" style="position:absolute;margin-left:243.65pt;margin-top:101.95pt;width:82.75pt;height:13.95pt;flip:x;z-index:25142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" strokecolor="white [3212]" strokeweight="1.5pt">
                <v:stroke endarrow="block"/>
              </v:shape>
            </w:pict>
          </mc:Fallback>
        </mc:AlternateContent>
      </w:r>
      <w:r>
        <w:rPr>
          <w:noProof/>
        </w:rPr>
        <mc:AlternateContent>
          <mc:Choice Requires="wps">
            <w:drawing>
              <wp:anchor distT="0" distB="0" distL="114300" distR="114300" simplePos="0" relativeHeight="251399168" behindDoc="0" locked="0" layoutInCell="1" allowOverlap="1">
                <wp:simplePos x="0" y="0"/>
                <wp:positionH relativeFrom="column">
                  <wp:posOffset>4145915</wp:posOffset>
                </wp:positionH>
                <wp:positionV relativeFrom="paragraph">
                  <wp:posOffset>1011555</wp:posOffset>
                </wp:positionV>
                <wp:extent cx="1851660" cy="540385"/>
                <wp:effectExtent l="0" t="0" r="0" b="0"/>
                <wp:wrapNone/>
                <wp:docPr id="248" name="Zone de texte 248"/>
                <wp:cNvGraphicFramePr/>
                <a:graphic xmlns:a="http://schemas.openxmlformats.org/drawingml/2006/main">
                  <a:graphicData uri="http://schemas.microsoft.com/office/word/2010/wordprocessingShape">
                    <wps:wsp>
                      <wps:cNvSpPr txBox="1"/>
                      <wps:spPr>
                        <a:xfrm>
                          <a:off x="0" y="0"/>
                          <a:ext cx="1851660" cy="5403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b/>
                                <w:color w:val="FFFFFF" w:themeColor="background1"/>
                              </w:rPr>
                            </w:pPr>
                            <w:r>
                              <w:rPr>
                                <w:b/>
                                <w:color w:val="FFFFFF" w:themeColor="background1"/>
                              </w:rPr>
                              <w:t xml:space="preserve">Zone 2 AU - la Carrière des </w:t>
                            </w:r>
                            <w:proofErr w:type="spellStart"/>
                            <w:r>
                              <w:rPr>
                                <w:b/>
                                <w:color w:val="FFFFFF" w:themeColor="background1"/>
                              </w:rPr>
                              <w:t>Amourous</w:t>
                            </w:r>
                            <w:proofErr w:type="spellEnd"/>
                            <w:r>
                              <w: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248" o:spid="_x0000_s1037" type="#_x0000_t202" style="position:absolute;left:0;text-align:left;margin-left:326.45pt;margin-top:79.65pt;width:145.8pt;height:42.55pt;z-index:25139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" filled="f" stroked="f" strokeweight=".5pt">
                <v:textbox>
                  <w:txbxContent>
                    <w:p>
                      <w:pPr>
                        <w:rPr>
                          <w:b/>
                          <w:color w:val="FFFFFF" w:themeColor="background1"/>
                        </w:rPr>
                      </w:pPr>
                      <w:r>
                        <w:rPr>
                          <w:b/>
                          <w:color w:val="FFFFFF" w:themeColor="background1"/>
                        </w:rPr>
                        <w:t xml:space="preserve">Zone 2 AU - la Carrière des </w:t>
                      </w:r>
                      <w:proofErr w:type="spellStart"/>
                      <w:r>
                        <w:rPr>
                          <w:b/>
                          <w:color w:val="FFFFFF" w:themeColor="background1"/>
                        </w:rPr>
                        <w:t>Amourous</w:t>
                      </w:r>
                      <w:proofErr w:type="spellEnd"/>
                      <w:r>
                        <w:t> </w:t>
                      </w:r>
                    </w:p>
                  </w:txbxContent>
                </v:textbox>
              </v:shape>
            </w:pict>
          </mc:Fallback>
        </mc:AlternateContent>
      </w:r>
      <w:r>
        <w:rPr>
          <w:noProof/>
        </w:rPr>
        <mc:AlternateContent>
          <mc:Choice Requires="wps">
            <w:drawing>
              <wp:anchor distT="0" distB="0" distL="114300" distR="114300" simplePos="0" relativeHeight="251448320" behindDoc="0" locked="0" layoutInCell="1" allowOverlap="1">
                <wp:simplePos x="0" y="0"/>
                <wp:positionH relativeFrom="column">
                  <wp:posOffset>1654620</wp:posOffset>
                </wp:positionH>
                <wp:positionV relativeFrom="paragraph">
                  <wp:posOffset>4215264</wp:posOffset>
                </wp:positionV>
                <wp:extent cx="431848" cy="696035"/>
                <wp:effectExtent l="0" t="38100" r="63500" b="27940"/>
                <wp:wrapNone/>
                <wp:docPr id="1499" name="Connecteur droit avec flèche 1499"/>
                <wp:cNvGraphicFramePr/>
                <a:graphic xmlns:a="http://schemas.openxmlformats.org/drawingml/2006/main">
                  <a:graphicData uri="http://schemas.microsoft.com/office/word/2010/wordprocessingShape">
                    <wps:wsp>
                      <wps:cNvCnPr/>
                      <wps:spPr>
                        <a:xfrm flipV="1">
                          <a:off x="0" y="0"/>
                          <a:ext cx="431848" cy="696035"/>
                        </a:xfrm>
                        <a:prstGeom prst="straightConnector1">
                          <a:avLst/>
                        </a:prstGeom>
                        <a:ln w="19050">
                          <a:solidFill>
                            <a:schemeClr val="bg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Connecteur droit avec flèche 1499" o:spid="_x0000_s1026" type="#_x0000_t32" style="position:absolute;margin-left:130.3pt;margin-top:331.9pt;width:34pt;height:54.8pt;flip:y;z-index:25144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" strokecolor="white [3212]" strokeweight="1.5pt">
                <v:stroke endarrow="block"/>
              </v:shape>
            </w:pict>
          </mc:Fallback>
        </mc:AlternateContent>
      </w:r>
      <w:r>
        <w:rPr>
          <w:noProof/>
        </w:rPr>
        <mc:AlternateContent>
          <mc:Choice Requires="wps">
            <w:drawing>
              <wp:anchor distT="0" distB="0" distL="114300" distR="114300" simplePos="0" relativeHeight="251436032" behindDoc="0" locked="0" layoutInCell="1" allowOverlap="1">
                <wp:simplePos x="0" y="0"/>
                <wp:positionH relativeFrom="column">
                  <wp:posOffset>1081055</wp:posOffset>
                </wp:positionH>
                <wp:positionV relativeFrom="paragraph">
                  <wp:posOffset>4624411</wp:posOffset>
                </wp:positionV>
                <wp:extent cx="1896110" cy="559559"/>
                <wp:effectExtent l="0" t="0" r="0" b="0"/>
                <wp:wrapNone/>
                <wp:docPr id="1497" name="Zone de texte 1497"/>
                <wp:cNvGraphicFramePr/>
                <a:graphic xmlns:a="http://schemas.openxmlformats.org/drawingml/2006/main">
                  <a:graphicData uri="http://schemas.microsoft.com/office/word/2010/wordprocessingShape">
                    <wps:wsp>
                      <wps:cNvSpPr txBox="1"/>
                      <wps:spPr>
                        <a:xfrm>
                          <a:off x="0" y="0"/>
                          <a:ext cx="1896110" cy="55955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b/>
                                <w:color w:val="FFFFFF" w:themeColor="background1"/>
                              </w:rPr>
                            </w:pPr>
                            <w:r>
                              <w:rPr>
                                <w:b/>
                                <w:color w:val="FFFFFF" w:themeColor="background1"/>
                              </w:rPr>
                              <w:t xml:space="preserve">Zone UE  </w:t>
                            </w:r>
                          </w:p>
                          <w:p>
                            <w:pPr>
                              <w:rPr>
                                <w:b/>
                                <w:color w:val="FFFFFF" w:themeColor="background1"/>
                              </w:rPr>
                            </w:pPr>
                            <w:r>
                              <w:rPr>
                                <w:b/>
                                <w:color w:val="FFFFFF" w:themeColor="background1"/>
                              </w:rPr>
                              <w:t xml:space="preserve">- les </w:t>
                            </w:r>
                            <w:proofErr w:type="spellStart"/>
                            <w:r>
                              <w:rPr>
                                <w:b/>
                                <w:color w:val="FFFFFF" w:themeColor="background1"/>
                              </w:rPr>
                              <w:t>Dardalounes</w:t>
                            </w:r>
                            <w:proofErr w:type="spellEnd"/>
                            <w:r>
                              <w: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1497" o:spid="_x0000_s1038" type="#_x0000_t202" style="position:absolute;left:0;text-align:left;margin-left:85.1pt;margin-top:364.15pt;width:149.3pt;height:44.05pt;z-index:25143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" filled="f" stroked="f" strokeweight=".5pt">
                <v:textbox>
                  <w:txbxContent>
                    <w:p>
                      <w:pPr>
                        <w:rPr>
                          <w:b/>
                          <w:color w:val="FFFFFF" w:themeColor="background1"/>
                        </w:rPr>
                      </w:pPr>
                      <w:r>
                        <w:rPr>
                          <w:b/>
                          <w:color w:val="FFFFFF" w:themeColor="background1"/>
                        </w:rPr>
                        <w:t xml:space="preserve">Zone UE  </w:t>
                      </w:r>
                    </w:p>
                    <w:p>
                      <w:pPr>
                        <w:rPr>
                          <w:b/>
                          <w:color w:val="FFFFFF" w:themeColor="background1"/>
                        </w:rPr>
                      </w:pPr>
                      <w:r>
                        <w:rPr>
                          <w:b/>
                          <w:color w:val="FFFFFF" w:themeColor="background1"/>
                        </w:rPr>
                        <w:t xml:space="preserve">- les </w:t>
                      </w:r>
                      <w:proofErr w:type="spellStart"/>
                      <w:r>
                        <w:rPr>
                          <w:b/>
                          <w:color w:val="FFFFFF" w:themeColor="background1"/>
                        </w:rPr>
                        <w:t>Dardalounes</w:t>
                      </w:r>
                      <w:proofErr w:type="spellEnd"/>
                      <w:r>
                        <w:t> </w:t>
                      </w:r>
                    </w:p>
                  </w:txbxContent>
                </v:textbox>
              </v:shape>
            </w:pict>
          </mc:Fallback>
        </mc:AlternateContent>
      </w:r>
      <w:r>
        <w:rPr>
          <w:noProof/>
        </w:rPr>
        <mc:AlternateContent>
          <mc:Choice Requires="wps">
            <w:drawing>
              <wp:anchor distT="0" distB="0" distL="114300" distR="114300" simplePos="0" relativeHeight="251374592" behindDoc="0" locked="0" layoutInCell="1" allowOverlap="1">
                <wp:simplePos x="0" y="0"/>
                <wp:positionH relativeFrom="column">
                  <wp:posOffset>1847850</wp:posOffset>
                </wp:positionH>
                <wp:positionV relativeFrom="paragraph">
                  <wp:posOffset>6174105</wp:posOffset>
                </wp:positionV>
                <wp:extent cx="1979295" cy="327660"/>
                <wp:effectExtent l="0" t="0" r="0" b="0"/>
                <wp:wrapNone/>
                <wp:docPr id="230" name="Zone de texte 230"/>
                <wp:cNvGraphicFramePr/>
                <a:graphic xmlns:a="http://schemas.openxmlformats.org/drawingml/2006/main">
                  <a:graphicData uri="http://schemas.microsoft.com/office/word/2010/wordprocessingShape">
                    <wps:wsp>
                      <wps:cNvSpPr txBox="1"/>
                      <wps:spPr>
                        <a:xfrm>
                          <a:off x="0" y="0"/>
                          <a:ext cx="1979295" cy="3276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b/>
                                <w:color w:val="FFFFFF" w:themeColor="background1"/>
                              </w:rPr>
                            </w:pPr>
                            <w:r>
                              <w:rPr>
                                <w:b/>
                                <w:color w:val="FFFFFF" w:themeColor="background1"/>
                              </w:rPr>
                              <w:t>Zone 2AU – Mitra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230" o:spid="_x0000_s1039" type="#_x0000_t202" style="position:absolute;left:0;text-align:left;margin-left:145.5pt;margin-top:486.15pt;width:155.85pt;height:25.8pt;z-index:25137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" filled="f" stroked="f" strokeweight=".5pt">
                <v:textbox>
                  <w:txbxContent>
                    <w:p>
                      <w:pPr>
                        <w:rPr>
                          <w:b/>
                          <w:color w:val="FFFFFF" w:themeColor="background1"/>
                        </w:rPr>
                      </w:pPr>
                      <w:r>
                        <w:rPr>
                          <w:b/>
                          <w:color w:val="FFFFFF" w:themeColor="background1"/>
                        </w:rPr>
                        <w:t>Zone 2AU – Mitra</w:t>
                      </w:r>
                    </w:p>
                  </w:txbxContent>
                </v:textbox>
              </v:shape>
            </w:pict>
          </mc:Fallback>
        </mc:AlternateContent>
      </w:r>
      <w:r>
        <w:rPr>
          <w:noProof/>
        </w:rPr>
        <mc:AlternateContent>
          <mc:Choice Requires="wps">
            <w:drawing>
              <wp:anchor distT="0" distB="0" distL="114300" distR="114300" simplePos="0" relativeHeight="251386880" behindDoc="0" locked="0" layoutInCell="1" allowOverlap="1">
                <wp:simplePos x="0" y="0"/>
                <wp:positionH relativeFrom="column">
                  <wp:posOffset>2725970</wp:posOffset>
                </wp:positionH>
                <wp:positionV relativeFrom="paragraph">
                  <wp:posOffset>5907585</wp:posOffset>
                </wp:positionV>
                <wp:extent cx="805218" cy="381598"/>
                <wp:effectExtent l="0" t="38100" r="52070" b="19050"/>
                <wp:wrapNone/>
                <wp:docPr id="247" name="Connecteur droit avec flèche 247"/>
                <wp:cNvGraphicFramePr/>
                <a:graphic xmlns:a="http://schemas.openxmlformats.org/drawingml/2006/main">
                  <a:graphicData uri="http://schemas.microsoft.com/office/word/2010/wordprocessingShape">
                    <wps:wsp>
                      <wps:cNvCnPr/>
                      <wps:spPr>
                        <a:xfrm flipV="1">
                          <a:off x="0" y="0"/>
                          <a:ext cx="805218" cy="381598"/>
                        </a:xfrm>
                        <a:prstGeom prst="straightConnector1">
                          <a:avLst/>
                        </a:prstGeom>
                        <a:ln w="19050">
                          <a:solidFill>
                            <a:schemeClr val="bg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Connecteur droit avec flèche 247" o:spid="_x0000_s1026" type="#_x0000_t32" style="position:absolute;margin-left:214.65pt;margin-top:465.15pt;width:63.4pt;height:30.05pt;flip:y;z-index:25138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" strokecolor="white [3212]" strokeweight="1.5pt">
                <v:stroke endarrow="block"/>
              </v:shape>
            </w:pict>
          </mc:Fallback>
        </mc:AlternateContent>
      </w:r>
      <w:r>
        <w:rPr>
          <w:noProof/>
        </w:rPr>
        <mc:AlternateContent>
          <mc:Choice Requires="wps">
            <w:drawing>
              <wp:anchor distT="0" distB="0" distL="114300" distR="114300" simplePos="0" relativeHeight="251497472" behindDoc="0" locked="0" layoutInCell="1" allowOverlap="1">
                <wp:simplePos x="0" y="0"/>
                <wp:positionH relativeFrom="column">
                  <wp:posOffset>4441190</wp:posOffset>
                </wp:positionH>
                <wp:positionV relativeFrom="paragraph">
                  <wp:posOffset>409575</wp:posOffset>
                </wp:positionV>
                <wp:extent cx="269875" cy="134620"/>
                <wp:effectExtent l="0" t="0" r="15875" b="17780"/>
                <wp:wrapNone/>
                <wp:docPr id="1400" name="Rectangle 1400"/>
                <wp:cNvGraphicFramePr/>
                <a:graphic xmlns:a="http://schemas.openxmlformats.org/drawingml/2006/main">
                  <a:graphicData uri="http://schemas.microsoft.com/office/word/2010/wordprocessingShape">
                    <wps:wsp>
                      <wps:cNvSpPr/>
                      <wps:spPr>
                        <a:xfrm>
                          <a:off x="0" y="0"/>
                          <a:ext cx="269875" cy="134620"/>
                        </a:xfrm>
                        <a:prstGeom prst="rect">
                          <a:avLst/>
                        </a:prstGeom>
                        <a:solidFill>
                          <a:srgbClr val="FF0000"/>
                        </a:solidFill>
                        <a:ln w="317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1400" o:spid="_x0000_s1026" style="position:absolute;margin-left:349.7pt;margin-top:32.25pt;width:21.25pt;height:10.6pt;z-index:2514974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" fillcolor="red" strokecolor="#243f60 [1604]" strokeweight=".25pt"/>
            </w:pict>
          </mc:Fallback>
        </mc:AlternateContent>
      </w:r>
      <w:r>
        <w:rPr>
          <w:noProof/>
        </w:rPr>
        <mc:AlternateContent>
          <mc:Choice Requires="wps">
            <w:drawing>
              <wp:anchor distT="0" distB="0" distL="114300" distR="114300" simplePos="0" relativeHeight="251485184" behindDoc="0" locked="0" layoutInCell="1" allowOverlap="1">
                <wp:simplePos x="0" y="0"/>
                <wp:positionH relativeFrom="column">
                  <wp:posOffset>4440307</wp:posOffset>
                </wp:positionH>
                <wp:positionV relativeFrom="paragraph">
                  <wp:posOffset>123107</wp:posOffset>
                </wp:positionV>
                <wp:extent cx="270344" cy="135172"/>
                <wp:effectExtent l="0" t="0" r="15875" b="17780"/>
                <wp:wrapNone/>
                <wp:docPr id="1398" name="Rectangle 1398"/>
                <wp:cNvGraphicFramePr/>
                <a:graphic xmlns:a="http://schemas.openxmlformats.org/drawingml/2006/main">
                  <a:graphicData uri="http://schemas.microsoft.com/office/word/2010/wordprocessingShape">
                    <wps:wsp>
                      <wps:cNvSpPr/>
                      <wps:spPr>
                        <a:xfrm>
                          <a:off x="0" y="0"/>
                          <a:ext cx="270344" cy="135172"/>
                        </a:xfrm>
                        <a:prstGeom prst="rect">
                          <a:avLst/>
                        </a:prstGeom>
                        <a:ln w="317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1398" o:spid="_x0000_s1026" style="position:absolute;margin-left:349.65pt;margin-top:9.7pt;width:21.3pt;height:10.65pt;z-index:2514851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" fillcolor="#4f81bd [3204]" strokecolor="#243f60 [1604]" strokeweight=".25pt"/>
            </w:pict>
          </mc:Fallback>
        </mc:AlternateContent>
      </w:r>
      <w:r>
        <w:rPr>
          <w:noProof/>
        </w:rPr>
        <mc:AlternateContent>
          <mc:Choice Requires="wps">
            <w:drawing>
              <wp:anchor distT="0" distB="0" distL="114300" distR="114300" simplePos="0" relativeHeight="251472896" behindDoc="0" locked="0" layoutInCell="1" allowOverlap="1">
                <wp:simplePos x="0" y="0"/>
                <wp:positionH relativeFrom="column">
                  <wp:posOffset>4281280</wp:posOffset>
                </wp:positionH>
                <wp:positionV relativeFrom="paragraph">
                  <wp:posOffset>3839</wp:posOffset>
                </wp:positionV>
                <wp:extent cx="1695782" cy="685468"/>
                <wp:effectExtent l="0" t="0" r="19050" b="19685"/>
                <wp:wrapNone/>
                <wp:docPr id="30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95782" cy="685468"/>
                        </a:xfrm>
                        <a:prstGeom prst="rect">
                          <a:avLst/>
                        </a:prstGeom>
                        <a:solidFill>
                          <a:srgbClr val="FFFFFF"/>
                        </a:solidFill>
                        <a:ln w="9525">
                          <a:solidFill>
                            <a:srgbClr val="000000"/>
                          </a:solidFill>
                          <a:miter lim="800000"/>
                          <a:headEnd/>
                          <a:tailEnd/>
                        </a:ln>
                      </wps:spPr>
                      <wps:txbx>
                        <w:txbxContent>
                          <w:p>
                            <w:r>
                              <w:tab/>
                              <w:t>Zone urbaine</w:t>
                            </w:r>
                          </w:p>
                          <w:p>
                            <w:pPr>
                              <w:ind w:firstLine="709"/>
                            </w:pPr>
                            <w:r>
                              <w:t>Zone à urbaniser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Zone de texte 2" o:spid="_x0000_s1040" type="#_x0000_t202" style="position:absolute;left:0;text-align:left;margin-left:337.1pt;margin-top:.3pt;width:133.55pt;height:53.95pt;z-index:251472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">
                <v:textbox>
                  <w:txbxContent>
                    <w:p>
                      <w:r>
                        <w:tab/>
                        <w:t>Zone urbaine</w:t>
                      </w:r>
                    </w:p>
                    <w:p>
                      <w:pPr>
                        <w:ind w:firstLine="709"/>
                      </w:pPr>
                      <w:r>
                        <w:t>Zone à urbaniser</w:t>
                      </w:r>
                    </w:p>
                  </w:txbxContent>
                </v:textbox>
              </v:shape>
            </w:pict>
          </mc:Fallback>
        </mc:AlternateContent>
      </w:r>
      <w:r>
        <w:rPr>
          <w:noProof/>
        </w:rPr>
        <w:t xml:space="preserve"> </w:t>
      </w:r>
      <w:r>
        <w:rPr>
          <w:noProof/>
        </w:rPr>
        <w:drawing>
          <wp:inline distT="0" distB="0" distL="0" distR="0">
            <wp:extent cx="5972810" cy="7042785"/>
            <wp:effectExtent l="0" t="0" r="8890" b="571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972810" cy="7042785"/>
                    </a:xfrm>
                    <a:prstGeom prst="rect">
                      <a:avLst/>
                    </a:prstGeom>
                  </pic:spPr>
                </pic:pic>
              </a:graphicData>
            </a:graphic>
          </wp:inline>
        </w:drawing>
      </w:r>
    </w:p>
    <w:p>
      <w:pPr>
        <w:pStyle w:val="Lgende"/>
        <w:rPr>
          <w:szCs w:val="20"/>
        </w:rPr>
      </w:pPr>
      <w:r>
        <w:rPr>
          <w:szCs w:val="20"/>
        </w:rPr>
        <w:t>Report cartographique de la proposition de zonage d’assainissement</w:t>
      </w:r>
    </w:p>
    <w:p>
      <w:pPr>
        <w:pStyle w:val="Lgende"/>
        <w:rPr>
          <w:szCs w:val="20"/>
        </w:rPr>
      </w:pPr>
    </w:p>
    <w:p>
      <w:pPr>
        <w:pStyle w:val="Lgende"/>
        <w:rPr>
          <w:b/>
          <w:iCs w:val="0"/>
          <w:color w:val="333333"/>
          <w:sz w:val="28"/>
          <w:lang w:val="x-none" w:eastAsia="x-none"/>
        </w:rPr>
      </w:pPr>
    </w:p>
    <w:p>
      <w:pPr>
        <w:pStyle w:val="Titre2"/>
        <w:numPr>
          <w:ilvl w:val="0"/>
          <w:numId w:val="0"/>
        </w:numPr>
        <w:ind w:left="576" w:hanging="576"/>
      </w:pPr>
      <w:bookmarkStart w:id="31" w:name="_Toc92353827"/>
      <w:bookmarkStart w:id="32" w:name="_Toc46480269"/>
      <w:r>
        <w:lastRenderedPageBreak/>
        <w:t>2.2. Scénarios d’extension de réseau de collecte</w:t>
      </w:r>
      <w:bookmarkEnd w:id="31"/>
    </w:p>
    <w:p>
      <w:r>
        <w:t xml:space="preserve">L’ensemble des zones U et AU sont raccordables au réseau d’assainissement des eaux usées hormis le secteur des </w:t>
      </w:r>
      <w:proofErr w:type="spellStart"/>
      <w:r>
        <w:t>Dardalounes</w:t>
      </w:r>
      <w:proofErr w:type="spellEnd"/>
      <w:r>
        <w:t>.</w:t>
      </w:r>
    </w:p>
    <w:p>
      <w:pPr>
        <w:autoSpaceDE w:val="0"/>
        <w:autoSpaceDN w:val="0"/>
        <w:adjustRightInd w:val="0"/>
        <w:spacing w:before="0"/>
      </w:pPr>
      <w:r>
        <w:t xml:space="preserve"> </w:t>
      </w:r>
    </w:p>
    <w:p>
      <w:pPr>
        <w:autoSpaceDE w:val="0"/>
        <w:autoSpaceDN w:val="0"/>
        <w:adjustRightInd w:val="0"/>
        <w:spacing w:before="0"/>
      </w:pPr>
    </w:p>
    <w:p>
      <w:pPr>
        <w:keepNext/>
      </w:pPr>
      <w:r>
        <w:rPr>
          <w:noProof/>
        </w:rPr>
        <mc:AlternateContent>
          <mc:Choice Requires="wps">
            <w:drawing>
              <wp:anchor distT="0" distB="0" distL="114300" distR="114300" simplePos="0" relativeHeight="251595776" behindDoc="0" locked="0" layoutInCell="1" allowOverlap="1">
                <wp:simplePos x="0" y="0"/>
                <wp:positionH relativeFrom="column">
                  <wp:posOffset>1661161</wp:posOffset>
                </wp:positionH>
                <wp:positionV relativeFrom="paragraph">
                  <wp:posOffset>3660367</wp:posOffset>
                </wp:positionV>
                <wp:extent cx="681731" cy="657357"/>
                <wp:effectExtent l="19050" t="19050" r="23495" b="28575"/>
                <wp:wrapNone/>
                <wp:docPr id="251" name="Ellipse 251"/>
                <wp:cNvGraphicFramePr/>
                <a:graphic xmlns:a="http://schemas.openxmlformats.org/drawingml/2006/main">
                  <a:graphicData uri="http://schemas.microsoft.com/office/word/2010/wordprocessingShape">
                    <wps:wsp>
                      <wps:cNvSpPr/>
                      <wps:spPr>
                        <a:xfrm rot="20444960">
                          <a:off x="0" y="0"/>
                          <a:ext cx="681731" cy="657357"/>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Ellipse 251" o:spid="_x0000_s1026" style="position:absolute;margin-left:130.8pt;margin-top:288.2pt;width:53.7pt;height:51.75pt;rotation:-1261612fd;z-index:25159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" filled="f" strokecolor="red" strokeweight="2pt"/>
            </w:pict>
          </mc:Fallback>
        </mc:AlternateContent>
      </w:r>
      <w:r>
        <w:rPr>
          <w:noProof/>
        </w:rPr>
        <w:t xml:space="preserve"> </w:t>
      </w:r>
      <w:r>
        <w:rPr>
          <w:noProof/>
        </w:rPr>
        <w:drawing>
          <wp:inline distT="0" distB="0" distL="0" distR="0">
            <wp:extent cx="5972810" cy="7156450"/>
            <wp:effectExtent l="19050" t="19050" r="27940" b="2540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972810" cy="7156450"/>
                    </a:xfrm>
                    <a:prstGeom prst="rect">
                      <a:avLst/>
                    </a:prstGeom>
                    <a:ln>
                      <a:solidFill>
                        <a:schemeClr val="tx1"/>
                      </a:solidFill>
                    </a:ln>
                  </pic:spPr>
                </pic:pic>
              </a:graphicData>
            </a:graphic>
          </wp:inline>
        </w:drawing>
      </w:r>
    </w:p>
    <w:p>
      <w:pPr>
        <w:pStyle w:val="Lgende"/>
        <w:rPr>
          <w:rFonts w:cs="Arial"/>
          <w:b/>
        </w:rPr>
      </w:pPr>
      <w:bookmarkStart w:id="33" w:name="_Toc51161051"/>
      <w:r>
        <w:t xml:space="preserve">Localisation du secteur </w:t>
      </w:r>
      <w:bookmarkEnd w:id="33"/>
      <w:r>
        <w:t xml:space="preserve">« les </w:t>
      </w:r>
      <w:proofErr w:type="spellStart"/>
      <w:r>
        <w:t>Dardalounes</w:t>
      </w:r>
      <w:proofErr w:type="spellEnd"/>
      <w:r>
        <w:t> ».</w:t>
      </w:r>
      <w:r>
        <w:br w:type="page"/>
      </w:r>
    </w:p>
    <w:p>
      <w:r>
        <w:lastRenderedPageBreak/>
        <w:t>Pour le raccordement de ce secteur, deux scénarios sont envisageables :</w:t>
      </w:r>
    </w:p>
    <w:p/>
    <w:p>
      <w:pPr>
        <w:pStyle w:val="Retrait20"/>
      </w:pPr>
      <w:r>
        <w:rPr>
          <w:b/>
          <w:u w:val="single"/>
        </w:rPr>
        <w:t>Scénario 1</w:t>
      </w:r>
      <w:r>
        <w:t> : raccordement vers le réseau situé au Nord</w:t>
      </w:r>
    </w:p>
    <w:p>
      <w:r>
        <w:t xml:space="preserve"> Les travaux de raccordement au système d’assainissement collectif consistent en la création :</w:t>
      </w:r>
    </w:p>
    <w:p>
      <w:pPr>
        <w:pStyle w:val="Retrait3"/>
        <w:tabs>
          <w:tab w:val="clear" w:pos="1778"/>
        </w:tabs>
        <w:ind w:left="1248" w:hanging="284"/>
      </w:pPr>
      <w:r>
        <w:t>d’un réseau de collecte gravitaire en PVC de diamètre 200 mm sur un linéaire de 260ml,</w:t>
      </w:r>
    </w:p>
    <w:p>
      <w:pPr>
        <w:pStyle w:val="Retrait3"/>
        <w:tabs>
          <w:tab w:val="clear" w:pos="1778"/>
        </w:tabs>
        <w:ind w:left="1248" w:hanging="284"/>
      </w:pPr>
      <w:r>
        <w:t>d’un poste de relevage d’une capacité d’environ 1,5m</w:t>
      </w:r>
      <w:r>
        <w:rPr>
          <w:vertAlign w:val="superscript"/>
        </w:rPr>
        <w:t>3</w:t>
      </w:r>
      <w:r>
        <w:t>/h,</w:t>
      </w:r>
    </w:p>
    <w:p>
      <w:pPr>
        <w:pStyle w:val="Retrait3"/>
        <w:tabs>
          <w:tab w:val="clear" w:pos="1778"/>
        </w:tabs>
        <w:ind w:left="1248" w:hanging="284"/>
      </w:pPr>
      <w:r>
        <w:t>d’un réseau de refoulement en PE 90 sur un linéaire de 340ml.</w:t>
      </w:r>
    </w:p>
    <w:p>
      <w:r>
        <w:t>Il faut noter que la totalité des travaux se situe sur des voies publiques hormis la zone d’implantation du poste de relevage.</w:t>
      </w:r>
    </w:p>
    <w:p>
      <w:pPr>
        <w:pStyle w:val="Retrait3"/>
        <w:numPr>
          <w:ilvl w:val="0"/>
          <w:numId w:val="0"/>
        </w:numPr>
        <w:spacing w:before="0"/>
        <w:ind w:left="1778"/>
      </w:pPr>
    </w:p>
    <w:tbl>
      <w:tblPr>
        <w:tblStyle w:val="Grilledutableau"/>
        <w:tblW w:w="0" w:type="auto"/>
        <w:jc w:val="center"/>
        <w:tblLook w:val="04A0" w:firstRow="1" w:lastRow="0" w:firstColumn="1" w:lastColumn="0" w:noHBand="0" w:noVBand="1"/>
      </w:tblPr>
      <w:tblGrid>
        <w:gridCol w:w="5070"/>
        <w:gridCol w:w="1842"/>
      </w:tblGrid>
      <w:tr>
        <w:trPr>
          <w:jc w:val="center"/>
        </w:trPr>
        <w:tc>
          <w:tcPr>
            <w:tcW w:w="6912" w:type="dxa"/>
            <w:gridSpan w:val="2"/>
            <w:shd w:val="clear" w:color="auto" w:fill="B8CCE4" w:themeFill="accent1" w:themeFillTint="66"/>
            <w:vAlign w:val="center"/>
          </w:tcPr>
          <w:p>
            <w:pPr>
              <w:spacing w:before="60" w:after="60"/>
              <w:jc w:val="center"/>
            </w:pPr>
            <w:r>
              <w:rPr>
                <w:rFonts w:cs="Calibri"/>
                <w:b/>
                <w:bCs/>
                <w:color w:val="FFFFFF"/>
              </w:rPr>
              <w:t>Approche du coût d’investissement</w:t>
            </w:r>
          </w:p>
        </w:tc>
      </w:tr>
      <w:tr>
        <w:trPr>
          <w:jc w:val="center"/>
        </w:trPr>
        <w:tc>
          <w:tcPr>
            <w:tcW w:w="5070" w:type="dxa"/>
            <w:vAlign w:val="center"/>
          </w:tcPr>
          <w:p>
            <w:pPr>
              <w:rPr>
                <w:color w:val="000000"/>
              </w:rPr>
            </w:pPr>
            <w:r>
              <w:t>Missions connexes*</w:t>
            </w:r>
          </w:p>
        </w:tc>
        <w:tc>
          <w:tcPr>
            <w:tcW w:w="1842" w:type="dxa"/>
            <w:vAlign w:val="center"/>
          </w:tcPr>
          <w:p>
            <w:pPr>
              <w:jc w:val="center"/>
              <w:rPr>
                <w:color w:val="000000"/>
              </w:rPr>
            </w:pPr>
            <w:r>
              <w:t>21 200 €</w:t>
            </w:r>
          </w:p>
        </w:tc>
      </w:tr>
      <w:tr>
        <w:trPr>
          <w:jc w:val="center"/>
        </w:trPr>
        <w:tc>
          <w:tcPr>
            <w:tcW w:w="5070" w:type="dxa"/>
            <w:vAlign w:val="center"/>
          </w:tcPr>
          <w:p>
            <w:pPr>
              <w:rPr>
                <w:color w:val="000000"/>
              </w:rPr>
            </w:pPr>
            <w:r>
              <w:t>Réseau d’assainissement</w:t>
            </w:r>
          </w:p>
        </w:tc>
        <w:tc>
          <w:tcPr>
            <w:tcW w:w="1842" w:type="dxa"/>
            <w:vAlign w:val="center"/>
          </w:tcPr>
          <w:p>
            <w:pPr>
              <w:jc w:val="center"/>
            </w:pPr>
            <w:r>
              <w:t>88 800 €</w:t>
            </w:r>
          </w:p>
        </w:tc>
      </w:tr>
      <w:tr>
        <w:trPr>
          <w:jc w:val="center"/>
        </w:trPr>
        <w:tc>
          <w:tcPr>
            <w:tcW w:w="5070" w:type="dxa"/>
            <w:vAlign w:val="center"/>
          </w:tcPr>
          <w:p>
            <w:r>
              <w:t>Branchement</w:t>
            </w:r>
          </w:p>
        </w:tc>
        <w:tc>
          <w:tcPr>
            <w:tcW w:w="1842" w:type="dxa"/>
            <w:vAlign w:val="center"/>
          </w:tcPr>
          <w:p>
            <w:pPr>
              <w:jc w:val="center"/>
            </w:pPr>
            <w:r>
              <w:t>10 000 €</w:t>
            </w:r>
          </w:p>
        </w:tc>
      </w:tr>
      <w:tr>
        <w:trPr>
          <w:jc w:val="center"/>
        </w:trPr>
        <w:tc>
          <w:tcPr>
            <w:tcW w:w="5070" w:type="dxa"/>
            <w:vAlign w:val="center"/>
          </w:tcPr>
          <w:p>
            <w:r>
              <w:t>Postes de refoulement</w:t>
            </w:r>
          </w:p>
        </w:tc>
        <w:tc>
          <w:tcPr>
            <w:tcW w:w="1842" w:type="dxa"/>
            <w:vAlign w:val="center"/>
          </w:tcPr>
          <w:p>
            <w:pPr>
              <w:jc w:val="center"/>
            </w:pPr>
            <w:r>
              <w:t>20 000€</w:t>
            </w:r>
          </w:p>
        </w:tc>
      </w:tr>
      <w:tr>
        <w:trPr>
          <w:jc w:val="center"/>
        </w:trPr>
        <w:tc>
          <w:tcPr>
            <w:tcW w:w="5070" w:type="dxa"/>
            <w:vAlign w:val="center"/>
          </w:tcPr>
          <w:p>
            <w:pPr>
              <w:rPr>
                <w:b/>
                <w:color w:val="000000"/>
              </w:rPr>
            </w:pPr>
            <w:r>
              <w:rPr>
                <w:b/>
              </w:rPr>
              <w:t>Total coût d’opération €HT</w:t>
            </w:r>
          </w:p>
        </w:tc>
        <w:tc>
          <w:tcPr>
            <w:tcW w:w="1842" w:type="dxa"/>
            <w:vAlign w:val="center"/>
          </w:tcPr>
          <w:p>
            <w:pPr>
              <w:jc w:val="center"/>
              <w:rPr>
                <w:b/>
                <w:color w:val="000000"/>
              </w:rPr>
            </w:pPr>
            <w:r>
              <w:rPr>
                <w:b/>
              </w:rPr>
              <w:t>140 000 €</w:t>
            </w:r>
          </w:p>
        </w:tc>
      </w:tr>
    </w:tbl>
    <w:p>
      <w:pPr>
        <w:pStyle w:val="Lgende"/>
        <w:jc w:val="center"/>
        <w:rPr>
          <w:szCs w:val="20"/>
        </w:rPr>
      </w:pPr>
      <w:bookmarkStart w:id="34" w:name="_Toc479260853"/>
      <w:bookmarkStart w:id="35" w:name="_Toc531679541"/>
      <w:bookmarkStart w:id="36" w:name="_Toc12269026"/>
      <w:bookmarkStart w:id="37" w:name="_Toc18587081"/>
      <w:bookmarkStart w:id="38" w:name="_Toc46480570"/>
      <w:r>
        <w:rPr>
          <w:szCs w:val="20"/>
        </w:rPr>
        <w:t xml:space="preserve">Synthèse des coûts scénario </w:t>
      </w:r>
      <w:bookmarkEnd w:id="34"/>
      <w:r>
        <w:rPr>
          <w:szCs w:val="20"/>
        </w:rPr>
        <w:t>réseau d’assainissement</w:t>
      </w:r>
      <w:bookmarkEnd w:id="35"/>
      <w:r>
        <w:rPr>
          <w:szCs w:val="20"/>
        </w:rPr>
        <w:t xml:space="preserve"> (secteur </w:t>
      </w:r>
      <w:bookmarkEnd w:id="36"/>
      <w:bookmarkEnd w:id="37"/>
      <w:bookmarkEnd w:id="38"/>
      <w:r>
        <w:t xml:space="preserve">les </w:t>
      </w:r>
      <w:proofErr w:type="spellStart"/>
      <w:r>
        <w:t>Dardalounes</w:t>
      </w:r>
      <w:proofErr w:type="spellEnd"/>
      <w:r>
        <w:t xml:space="preserve"> – scénario 1)</w:t>
      </w:r>
    </w:p>
    <w:p>
      <w:r>
        <w:t xml:space="preserve">* </w:t>
      </w:r>
      <w:r>
        <w:rPr>
          <w:i/>
        </w:rPr>
        <w:t>Les missions connexes correspondent aux missions de maitrise d’œuvre, géotechnique, SPS, topographique, contrôle technique, concertation des riverains et les frais d’établissement des conventions et des servitudes pour les travaux.</w:t>
      </w:r>
    </w:p>
    <w:p>
      <w:pPr>
        <w:spacing w:after="120"/>
      </w:pPr>
      <w:r>
        <w:t>Le coût de ce scénario est de l’ordre de 140 000 €HT. Les coûts de fonctionnement annuel s’élève à 5 000€HT/an.</w:t>
      </w:r>
    </w:p>
    <w:p>
      <w:pPr>
        <w:jc w:val="center"/>
      </w:pPr>
      <w:r>
        <w:rPr>
          <w:noProof/>
        </w:rPr>
        <mc:AlternateContent>
          <mc:Choice Requires="wps">
            <w:drawing>
              <wp:anchor distT="0" distB="0" distL="114300" distR="114300" simplePos="0" relativeHeight="251657216" behindDoc="0" locked="0" layoutInCell="1" allowOverlap="1">
                <wp:simplePos x="0" y="0"/>
                <wp:positionH relativeFrom="column">
                  <wp:posOffset>527685</wp:posOffset>
                </wp:positionH>
                <wp:positionV relativeFrom="paragraph">
                  <wp:posOffset>3410585</wp:posOffset>
                </wp:positionV>
                <wp:extent cx="1764665" cy="1478915"/>
                <wp:effectExtent l="0" t="0" r="26035" b="26035"/>
                <wp:wrapNone/>
                <wp:docPr id="134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64665" cy="1478915"/>
                        </a:xfrm>
                        <a:prstGeom prst="rect">
                          <a:avLst/>
                        </a:prstGeom>
                        <a:solidFill>
                          <a:srgbClr val="FFFFFF"/>
                        </a:solidFill>
                        <a:ln w="9525">
                          <a:solidFill>
                            <a:srgbClr val="000000"/>
                          </a:solidFill>
                          <a:miter lim="800000"/>
                          <a:headEnd/>
                          <a:tailEnd/>
                        </a:ln>
                      </wps:spPr>
                      <wps:txbx>
                        <w:txbxContent>
                          <w:p>
                            <w:pPr>
                              <w:jc w:val="center"/>
                              <w:rPr>
                                <w:b/>
                              </w:rPr>
                            </w:pPr>
                            <w:r>
                              <w:rPr>
                                <w:b/>
                              </w:rPr>
                              <w:t>Légende</w:t>
                            </w:r>
                          </w:p>
                          <w:p>
                            <w:r>
                              <w:tab/>
                              <w:t>Réseau EU existant</w:t>
                            </w:r>
                          </w:p>
                          <w:p>
                            <w:r>
                              <w:tab/>
                              <w:t>Réseau gravitaire</w:t>
                            </w:r>
                          </w:p>
                          <w:p>
                            <w:r>
                              <w:tab/>
                              <w:t>Réseau refoulement</w:t>
                            </w:r>
                          </w:p>
                          <w:p>
                            <w:r>
                              <w:tab/>
                              <w:t>Poste de refoulement</w:t>
                            </w:r>
                          </w:p>
                          <w:p>
                            <w:r>
                              <w:tab/>
                              <w:t>Zone à raccorder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1" type="#_x0000_t202" style="position:absolute;left:0;text-align:left;margin-left:41.55pt;margin-top:268.55pt;width:138.95pt;height:116.4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">
                <v:textbox>
                  <w:txbxContent>
                    <w:p>
                      <w:pPr>
                        <w:jc w:val="center"/>
                        <w:rPr>
                          <w:b/>
                        </w:rPr>
                      </w:pPr>
                      <w:r>
                        <w:rPr>
                          <w:b/>
                        </w:rPr>
                        <w:t>Légende</w:t>
                      </w:r>
                    </w:p>
                    <w:p>
                      <w:r>
                        <w:tab/>
                        <w:t>Réseau EU existant</w:t>
                      </w:r>
                    </w:p>
                    <w:p>
                      <w:r>
                        <w:tab/>
                        <w:t>Réseau gravitaire</w:t>
                      </w:r>
                    </w:p>
                    <w:p>
                      <w:r>
                        <w:tab/>
                        <w:t>Réseau refoulement</w:t>
                      </w:r>
                    </w:p>
                    <w:p>
                      <w:r>
                        <w:tab/>
                        <w:t>Poste de refoulement</w:t>
                      </w:r>
                    </w:p>
                    <w:p>
                      <w:r>
                        <w:tab/>
                        <w:t>Zone à raccorder</w:t>
                      </w:r>
                    </w:p>
                  </w:txbxContent>
                </v:textbox>
              </v:shape>
            </w:pict>
          </mc:Fallback>
        </mc:AlternateContent>
      </w:r>
      <w:r>
        <w:rPr>
          <w:noProof/>
        </w:rPr>
        <mc:AlternateContent>
          <mc:Choice Requires="wps">
            <w:drawing>
              <wp:anchor distT="0" distB="0" distL="114300" distR="114300" simplePos="0" relativeHeight="251620352" behindDoc="0" locked="0" layoutInCell="1" allowOverlap="1">
                <wp:simplePos x="0" y="0"/>
                <wp:positionH relativeFrom="column">
                  <wp:posOffset>2292985</wp:posOffset>
                </wp:positionH>
                <wp:positionV relativeFrom="paragraph">
                  <wp:posOffset>1664970</wp:posOffset>
                </wp:positionV>
                <wp:extent cx="1247775" cy="2417445"/>
                <wp:effectExtent l="0" t="0" r="28575" b="20955"/>
                <wp:wrapNone/>
                <wp:docPr id="23" name="Forme libre 23"/>
                <wp:cNvGraphicFramePr/>
                <a:graphic xmlns:a="http://schemas.openxmlformats.org/drawingml/2006/main">
                  <a:graphicData uri="http://schemas.microsoft.com/office/word/2010/wordprocessingShape">
                    <wps:wsp>
                      <wps:cNvSpPr/>
                      <wps:spPr>
                        <a:xfrm>
                          <a:off x="0" y="0"/>
                          <a:ext cx="1247775" cy="2417445"/>
                        </a:xfrm>
                        <a:custGeom>
                          <a:avLst/>
                          <a:gdLst>
                            <a:gd name="connsiteX0" fmla="*/ 0 w 1248115"/>
                            <a:gd name="connsiteY0" fmla="*/ 0 h 2417667"/>
                            <a:gd name="connsiteX1" fmla="*/ 492981 w 1248115"/>
                            <a:gd name="connsiteY1" fmla="*/ 985961 h 2417667"/>
                            <a:gd name="connsiteX2" fmla="*/ 866693 w 1248115"/>
                            <a:gd name="connsiteY2" fmla="*/ 1582309 h 2417667"/>
                            <a:gd name="connsiteX3" fmla="*/ 1224501 w 1248115"/>
                            <a:gd name="connsiteY3" fmla="*/ 2282024 h 2417667"/>
                            <a:gd name="connsiteX4" fmla="*/ 1184745 w 1248115"/>
                            <a:gd name="connsiteY4" fmla="*/ 2417196 h 2417667"/>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48115" h="2417667">
                              <a:moveTo>
                                <a:pt x="0" y="0"/>
                              </a:moveTo>
                              <a:cubicBezTo>
                                <a:pt x="174266" y="361121"/>
                                <a:pt x="348532" y="722243"/>
                                <a:pt x="492981" y="985961"/>
                              </a:cubicBezTo>
                              <a:cubicBezTo>
                                <a:pt x="637430" y="1249679"/>
                                <a:pt x="744773" y="1366299"/>
                                <a:pt x="866693" y="1582309"/>
                              </a:cubicBezTo>
                              <a:cubicBezTo>
                                <a:pt x="988613" y="1798319"/>
                                <a:pt x="1171492" y="2142876"/>
                                <a:pt x="1224501" y="2282024"/>
                              </a:cubicBezTo>
                              <a:cubicBezTo>
                                <a:pt x="1277510" y="2421172"/>
                                <a:pt x="1231127" y="2419184"/>
                                <a:pt x="1184745" y="2417196"/>
                              </a:cubicBezTo>
                            </a:path>
                          </a:pathLst>
                        </a:cu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Forme libre 23" o:spid="_x0000_s1026" style="position:absolute;margin-left:180.55pt;margin-top:131.1pt;width:98.25pt;height:190.35pt;z-index:251620352;visibility:visible;mso-wrap-style:square;mso-wrap-distance-left:9pt;mso-wrap-distance-top:0;mso-wrap-distance-right:9pt;mso-wrap-distance-bottom:0;mso-position-horizontal:absolute;mso-position-horizontal-relative:text;mso-position-vertical:absolute;mso-position-vertical-relative:text;v-text-anchor:middle" coordsize="1248115,24176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" path="m,c174266,361121,348532,722243,492981,985961v144449,263718,251792,380338,373712,596348c988613,1798319,1171492,2142876,1224501,2282024v53009,139148,6626,137160,-39756,135172e" filled="f" strokecolor="yellow" strokeweight="2pt">
                <v:path arrowok="t" o:connecttype="custom" o:connectlocs="0,0;492847,985870;866457,1582164;1224167,2281814;1184422,2416974" o:connectangles="0,0,0,0,0"/>
              </v:shape>
            </w:pict>
          </mc:Fallback>
        </mc:AlternateContent>
      </w:r>
      <w:r>
        <w:rPr>
          <w:noProof/>
        </w:rPr>
        <mc:AlternateContent>
          <mc:Choice Requires="wps">
            <w:drawing>
              <wp:anchor distT="0" distB="0" distL="114300" distR="114300" simplePos="0" relativeHeight="251632640" behindDoc="0" locked="0" layoutInCell="1" allowOverlap="1">
                <wp:simplePos x="0" y="0"/>
                <wp:positionH relativeFrom="column">
                  <wp:posOffset>3414395</wp:posOffset>
                </wp:positionH>
                <wp:positionV relativeFrom="paragraph">
                  <wp:posOffset>4034790</wp:posOffset>
                </wp:positionV>
                <wp:extent cx="126365" cy="158750"/>
                <wp:effectExtent l="0" t="0" r="26035" b="12700"/>
                <wp:wrapNone/>
                <wp:docPr id="24" name="Triangle isocèle 24"/>
                <wp:cNvGraphicFramePr/>
                <a:graphic xmlns:a="http://schemas.openxmlformats.org/drawingml/2006/main">
                  <a:graphicData uri="http://schemas.microsoft.com/office/word/2010/wordprocessingShape">
                    <wps:wsp>
                      <wps:cNvSpPr/>
                      <wps:spPr>
                        <a:xfrm>
                          <a:off x="0" y="0"/>
                          <a:ext cx="126365" cy="158750"/>
                        </a:xfrm>
                        <a:prstGeom prst="triangl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Triangle isocèle 24" o:spid="_x0000_s1026" type="#_x0000_t5" style="position:absolute;margin-left:268.85pt;margin-top:317.7pt;width:9.95pt;height:12.5pt;z-index:2516326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" fillcolor="red" strokecolor="red" strokeweight="2pt"/>
            </w:pict>
          </mc:Fallback>
        </mc:AlternateContent>
      </w:r>
      <w:r>
        <w:rPr>
          <w:noProof/>
        </w:rPr>
        <mc:AlternateContent>
          <mc:Choice Requires="wps">
            <w:drawing>
              <wp:anchor distT="0" distB="0" distL="114300" distR="114300" simplePos="0" relativeHeight="251644928" behindDoc="0" locked="0" layoutInCell="1" allowOverlap="1">
                <wp:simplePos x="0" y="0"/>
                <wp:positionH relativeFrom="column">
                  <wp:posOffset>2077720</wp:posOffset>
                </wp:positionH>
                <wp:positionV relativeFrom="paragraph">
                  <wp:posOffset>1076960</wp:posOffset>
                </wp:positionV>
                <wp:extent cx="1399540" cy="3037205"/>
                <wp:effectExtent l="0" t="0" r="10160" b="10795"/>
                <wp:wrapNone/>
                <wp:docPr id="31" name="Forme libre 31"/>
                <wp:cNvGraphicFramePr/>
                <a:graphic xmlns:a="http://schemas.openxmlformats.org/drawingml/2006/main">
                  <a:graphicData uri="http://schemas.microsoft.com/office/word/2010/wordprocessingShape">
                    <wps:wsp>
                      <wps:cNvSpPr/>
                      <wps:spPr>
                        <a:xfrm>
                          <a:off x="0" y="0"/>
                          <a:ext cx="1399540" cy="3037205"/>
                        </a:xfrm>
                        <a:custGeom>
                          <a:avLst/>
                          <a:gdLst>
                            <a:gd name="connsiteX0" fmla="*/ 1400172 w 1400172"/>
                            <a:gd name="connsiteY0" fmla="*/ 3037398 h 3037398"/>
                            <a:gd name="connsiteX1" fmla="*/ 1304756 w 1400172"/>
                            <a:gd name="connsiteY1" fmla="*/ 2790908 h 3037398"/>
                            <a:gd name="connsiteX2" fmla="*/ 994655 w 1400172"/>
                            <a:gd name="connsiteY2" fmla="*/ 2178657 h 3037398"/>
                            <a:gd name="connsiteX3" fmla="*/ 628895 w 1400172"/>
                            <a:gd name="connsiteY3" fmla="*/ 1518699 h 3037398"/>
                            <a:gd name="connsiteX4" fmla="*/ 135914 w 1400172"/>
                            <a:gd name="connsiteY4" fmla="*/ 620202 h 3037398"/>
                            <a:gd name="connsiteX5" fmla="*/ 742 w 1400172"/>
                            <a:gd name="connsiteY5" fmla="*/ 190831 h 3037398"/>
                            <a:gd name="connsiteX6" fmla="*/ 175671 w 1400172"/>
                            <a:gd name="connsiteY6" fmla="*/ 55659 h 3037398"/>
                            <a:gd name="connsiteX7" fmla="*/ 366502 w 1400172"/>
                            <a:gd name="connsiteY7" fmla="*/ 0 h 303739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00172" h="3037398">
                              <a:moveTo>
                                <a:pt x="1400172" y="3037398"/>
                              </a:moveTo>
                              <a:cubicBezTo>
                                <a:pt x="1386257" y="2985714"/>
                                <a:pt x="1372342" y="2934031"/>
                                <a:pt x="1304756" y="2790908"/>
                              </a:cubicBezTo>
                              <a:cubicBezTo>
                                <a:pt x="1237170" y="2647785"/>
                                <a:pt x="1107298" y="2390692"/>
                                <a:pt x="994655" y="2178657"/>
                              </a:cubicBezTo>
                              <a:cubicBezTo>
                                <a:pt x="882012" y="1966622"/>
                                <a:pt x="628895" y="1518699"/>
                                <a:pt x="628895" y="1518699"/>
                              </a:cubicBezTo>
                              <a:cubicBezTo>
                                <a:pt x="485772" y="1258957"/>
                                <a:pt x="240606" y="841513"/>
                                <a:pt x="135914" y="620202"/>
                              </a:cubicBezTo>
                              <a:cubicBezTo>
                                <a:pt x="31222" y="398891"/>
                                <a:pt x="-5884" y="284921"/>
                                <a:pt x="742" y="190831"/>
                              </a:cubicBezTo>
                              <a:cubicBezTo>
                                <a:pt x="7368" y="96741"/>
                                <a:pt x="114711" y="87464"/>
                                <a:pt x="175671" y="55659"/>
                              </a:cubicBezTo>
                              <a:cubicBezTo>
                                <a:pt x="236631" y="23854"/>
                                <a:pt x="301566" y="11927"/>
                                <a:pt x="366502" y="0"/>
                              </a:cubicBezTo>
                            </a:path>
                          </a:pathLst>
                        </a:cu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Forme libre 31" o:spid="_x0000_s1026" style="position:absolute;margin-left:163.6pt;margin-top:84.8pt;width:110.2pt;height:239.15pt;z-index:251644928;visibility:visible;mso-wrap-style:square;mso-wrap-distance-left:9pt;mso-wrap-distance-top:0;mso-wrap-distance-right:9pt;mso-wrap-distance-bottom:0;mso-position-horizontal:absolute;mso-position-horizontal-relative:text;mso-position-vertical:absolute;mso-position-vertical-relative:text;v-text-anchor:middle" coordsize="1400172,30373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" path="m1400172,3037398v-13915,-51684,-27830,-103367,-95416,-246490c1237170,2647785,1107298,2390692,994655,2178657,882012,1966622,628895,1518699,628895,1518699,485772,1258957,240606,841513,135914,620202,31222,398891,-5884,284921,742,190831,7368,96741,114711,87464,175671,55659,236631,23854,301566,11927,366502,e" filled="f" strokecolor="red" strokeweight="2pt">
                <v:path arrowok="t" o:connecttype="custom" o:connectlocs="1399540,3037205;1304167,2790731;994206,2178519;628611,1518603;135853,620163;742,190819;175592,55655;366337,0" o:connectangles="0,0,0,0,0,0,0,0"/>
              </v:shape>
            </w:pict>
          </mc:Fallback>
        </mc:AlternateContent>
      </w:r>
      <w:r>
        <w:rPr>
          <w:noProof/>
        </w:rPr>
        <mc:AlternateContent>
          <mc:Choice Requires="wps">
            <w:drawing>
              <wp:anchor distT="0" distB="0" distL="114300" distR="114300" simplePos="0" relativeHeight="251608064" behindDoc="0" locked="0" layoutInCell="1" allowOverlap="1">
                <wp:simplePos x="0" y="0"/>
                <wp:positionH relativeFrom="column">
                  <wp:posOffset>2173605</wp:posOffset>
                </wp:positionH>
                <wp:positionV relativeFrom="paragraph">
                  <wp:posOffset>859790</wp:posOffset>
                </wp:positionV>
                <wp:extent cx="1969135" cy="3582670"/>
                <wp:effectExtent l="19050" t="19050" r="12065" b="17780"/>
                <wp:wrapNone/>
                <wp:docPr id="20" name="Forme libre 20"/>
                <wp:cNvGraphicFramePr/>
                <a:graphic xmlns:a="http://schemas.openxmlformats.org/drawingml/2006/main">
                  <a:graphicData uri="http://schemas.microsoft.com/office/word/2010/wordprocessingShape">
                    <wps:wsp>
                      <wps:cNvSpPr/>
                      <wps:spPr>
                        <a:xfrm>
                          <a:off x="0" y="0"/>
                          <a:ext cx="1969135" cy="3582670"/>
                        </a:xfrm>
                        <a:custGeom>
                          <a:avLst/>
                          <a:gdLst>
                            <a:gd name="connsiteX0" fmla="*/ 1483422 w 1983306"/>
                            <a:gd name="connsiteY0" fmla="*/ 15809 h 3620283"/>
                            <a:gd name="connsiteX1" fmla="*/ 632818 w 1983306"/>
                            <a:gd name="connsiteY1" fmla="*/ 334786 h 3620283"/>
                            <a:gd name="connsiteX2" fmla="*/ 154353 w 1983306"/>
                            <a:gd name="connsiteY2" fmla="*/ 558070 h 3620283"/>
                            <a:gd name="connsiteX3" fmla="*/ 69292 w 1983306"/>
                            <a:gd name="connsiteY3" fmla="*/ 632498 h 3620283"/>
                            <a:gd name="connsiteX4" fmla="*/ 26762 w 1983306"/>
                            <a:gd name="connsiteY4" fmla="*/ 919577 h 3620283"/>
                            <a:gd name="connsiteX5" fmla="*/ 16129 w 1983306"/>
                            <a:gd name="connsiteY5" fmla="*/ 1174758 h 3620283"/>
                            <a:gd name="connsiteX6" fmla="*/ 69292 w 1983306"/>
                            <a:gd name="connsiteY6" fmla="*/ 1206656 h 3620283"/>
                            <a:gd name="connsiteX7" fmla="*/ 26762 w 1983306"/>
                            <a:gd name="connsiteY7" fmla="*/ 1419307 h 3620283"/>
                            <a:gd name="connsiteX8" fmla="*/ 547757 w 1983306"/>
                            <a:gd name="connsiteY8" fmla="*/ 1993465 h 3620283"/>
                            <a:gd name="connsiteX9" fmla="*/ 1111283 w 1983306"/>
                            <a:gd name="connsiteY9" fmla="*/ 3450125 h 3620283"/>
                            <a:gd name="connsiteX10" fmla="*/ 1164446 w 1983306"/>
                            <a:gd name="connsiteY10" fmla="*/ 3577716 h 3620283"/>
                            <a:gd name="connsiteX11" fmla="*/ 1143181 w 1983306"/>
                            <a:gd name="connsiteY11" fmla="*/ 3333167 h 3620283"/>
                            <a:gd name="connsiteX12" fmla="*/ 1175078 w 1983306"/>
                            <a:gd name="connsiteY12" fmla="*/ 2875967 h 3620283"/>
                            <a:gd name="connsiteX13" fmla="*/ 1185711 w 1983306"/>
                            <a:gd name="connsiteY13" fmla="*/ 2588888 h 3620283"/>
                            <a:gd name="connsiteX14" fmla="*/ 1302669 w 1983306"/>
                            <a:gd name="connsiteY14" fmla="*/ 2206116 h 3620283"/>
                            <a:gd name="connsiteX15" fmla="*/ 1515320 w 1983306"/>
                            <a:gd name="connsiteY15" fmla="*/ 1780814 h 3620283"/>
                            <a:gd name="connsiteX16" fmla="*/ 1674808 w 1983306"/>
                            <a:gd name="connsiteY16" fmla="*/ 1568163 h 3620283"/>
                            <a:gd name="connsiteX17" fmla="*/ 1876827 w 1983306"/>
                            <a:gd name="connsiteY17" fmla="*/ 1398042 h 3620283"/>
                            <a:gd name="connsiteX18" fmla="*/ 1983153 w 1983306"/>
                            <a:gd name="connsiteY18" fmla="*/ 1259819 h 3620283"/>
                            <a:gd name="connsiteX19" fmla="*/ 1855562 w 1983306"/>
                            <a:gd name="connsiteY19" fmla="*/ 1004637 h 3620283"/>
                            <a:gd name="connsiteX20" fmla="*/ 1738604 w 1983306"/>
                            <a:gd name="connsiteY20" fmla="*/ 717558 h 3620283"/>
                            <a:gd name="connsiteX21" fmla="*/ 1568483 w 1983306"/>
                            <a:gd name="connsiteY21" fmla="*/ 122135 h 3620283"/>
                            <a:gd name="connsiteX22" fmla="*/ 1483422 w 1983306"/>
                            <a:gd name="connsiteY22" fmla="*/ 15809 h 3620283"/>
                            <a:gd name="connsiteX0" fmla="*/ 1469869 w 1969753"/>
                            <a:gd name="connsiteY0" fmla="*/ 15809 h 3620283"/>
                            <a:gd name="connsiteX1" fmla="*/ 619265 w 1969753"/>
                            <a:gd name="connsiteY1" fmla="*/ 334786 h 3620283"/>
                            <a:gd name="connsiteX2" fmla="*/ 140800 w 1969753"/>
                            <a:gd name="connsiteY2" fmla="*/ 558070 h 3620283"/>
                            <a:gd name="connsiteX3" fmla="*/ 55739 w 1969753"/>
                            <a:gd name="connsiteY3" fmla="*/ 632498 h 3620283"/>
                            <a:gd name="connsiteX4" fmla="*/ 13209 w 1969753"/>
                            <a:gd name="connsiteY4" fmla="*/ 919577 h 3620283"/>
                            <a:gd name="connsiteX5" fmla="*/ 2576 w 1969753"/>
                            <a:gd name="connsiteY5" fmla="*/ 1174758 h 3620283"/>
                            <a:gd name="connsiteX6" fmla="*/ 55739 w 1969753"/>
                            <a:gd name="connsiteY6" fmla="*/ 1206656 h 3620283"/>
                            <a:gd name="connsiteX7" fmla="*/ 84781 w 1969753"/>
                            <a:gd name="connsiteY7" fmla="*/ 1451171 h 3620283"/>
                            <a:gd name="connsiteX8" fmla="*/ 534204 w 1969753"/>
                            <a:gd name="connsiteY8" fmla="*/ 1993465 h 3620283"/>
                            <a:gd name="connsiteX9" fmla="*/ 1097730 w 1969753"/>
                            <a:gd name="connsiteY9" fmla="*/ 3450125 h 3620283"/>
                            <a:gd name="connsiteX10" fmla="*/ 1150893 w 1969753"/>
                            <a:gd name="connsiteY10" fmla="*/ 3577716 h 3620283"/>
                            <a:gd name="connsiteX11" fmla="*/ 1129628 w 1969753"/>
                            <a:gd name="connsiteY11" fmla="*/ 3333167 h 3620283"/>
                            <a:gd name="connsiteX12" fmla="*/ 1161525 w 1969753"/>
                            <a:gd name="connsiteY12" fmla="*/ 2875967 h 3620283"/>
                            <a:gd name="connsiteX13" fmla="*/ 1172158 w 1969753"/>
                            <a:gd name="connsiteY13" fmla="*/ 2588888 h 3620283"/>
                            <a:gd name="connsiteX14" fmla="*/ 1289116 w 1969753"/>
                            <a:gd name="connsiteY14" fmla="*/ 2206116 h 3620283"/>
                            <a:gd name="connsiteX15" fmla="*/ 1501767 w 1969753"/>
                            <a:gd name="connsiteY15" fmla="*/ 1780814 h 3620283"/>
                            <a:gd name="connsiteX16" fmla="*/ 1661255 w 1969753"/>
                            <a:gd name="connsiteY16" fmla="*/ 1568163 h 3620283"/>
                            <a:gd name="connsiteX17" fmla="*/ 1863274 w 1969753"/>
                            <a:gd name="connsiteY17" fmla="*/ 1398042 h 3620283"/>
                            <a:gd name="connsiteX18" fmla="*/ 1969600 w 1969753"/>
                            <a:gd name="connsiteY18" fmla="*/ 1259819 h 3620283"/>
                            <a:gd name="connsiteX19" fmla="*/ 1842009 w 1969753"/>
                            <a:gd name="connsiteY19" fmla="*/ 1004637 h 3620283"/>
                            <a:gd name="connsiteX20" fmla="*/ 1725051 w 1969753"/>
                            <a:gd name="connsiteY20" fmla="*/ 717558 h 3620283"/>
                            <a:gd name="connsiteX21" fmla="*/ 1554930 w 1969753"/>
                            <a:gd name="connsiteY21" fmla="*/ 122135 h 3620283"/>
                            <a:gd name="connsiteX22" fmla="*/ 1469869 w 1969753"/>
                            <a:gd name="connsiteY22" fmla="*/ 15809 h 3620283"/>
                            <a:gd name="connsiteX0" fmla="*/ 1358977 w 1969753"/>
                            <a:gd name="connsiteY0" fmla="*/ 26147 h 3582910"/>
                            <a:gd name="connsiteX1" fmla="*/ 619265 w 1969753"/>
                            <a:gd name="connsiteY1" fmla="*/ 297413 h 3582910"/>
                            <a:gd name="connsiteX2" fmla="*/ 140800 w 1969753"/>
                            <a:gd name="connsiteY2" fmla="*/ 520697 h 3582910"/>
                            <a:gd name="connsiteX3" fmla="*/ 55739 w 1969753"/>
                            <a:gd name="connsiteY3" fmla="*/ 595125 h 3582910"/>
                            <a:gd name="connsiteX4" fmla="*/ 13209 w 1969753"/>
                            <a:gd name="connsiteY4" fmla="*/ 882204 h 3582910"/>
                            <a:gd name="connsiteX5" fmla="*/ 2576 w 1969753"/>
                            <a:gd name="connsiteY5" fmla="*/ 1137385 h 3582910"/>
                            <a:gd name="connsiteX6" fmla="*/ 55739 w 1969753"/>
                            <a:gd name="connsiteY6" fmla="*/ 1169283 h 3582910"/>
                            <a:gd name="connsiteX7" fmla="*/ 84781 w 1969753"/>
                            <a:gd name="connsiteY7" fmla="*/ 1413798 h 3582910"/>
                            <a:gd name="connsiteX8" fmla="*/ 534204 w 1969753"/>
                            <a:gd name="connsiteY8" fmla="*/ 1956092 h 3582910"/>
                            <a:gd name="connsiteX9" fmla="*/ 1097730 w 1969753"/>
                            <a:gd name="connsiteY9" fmla="*/ 3412752 h 3582910"/>
                            <a:gd name="connsiteX10" fmla="*/ 1150893 w 1969753"/>
                            <a:gd name="connsiteY10" fmla="*/ 3540343 h 3582910"/>
                            <a:gd name="connsiteX11" fmla="*/ 1129628 w 1969753"/>
                            <a:gd name="connsiteY11" fmla="*/ 3295794 h 3582910"/>
                            <a:gd name="connsiteX12" fmla="*/ 1161525 w 1969753"/>
                            <a:gd name="connsiteY12" fmla="*/ 2838594 h 3582910"/>
                            <a:gd name="connsiteX13" fmla="*/ 1172158 w 1969753"/>
                            <a:gd name="connsiteY13" fmla="*/ 2551515 h 3582910"/>
                            <a:gd name="connsiteX14" fmla="*/ 1289116 w 1969753"/>
                            <a:gd name="connsiteY14" fmla="*/ 2168743 h 3582910"/>
                            <a:gd name="connsiteX15" fmla="*/ 1501767 w 1969753"/>
                            <a:gd name="connsiteY15" fmla="*/ 1743441 h 3582910"/>
                            <a:gd name="connsiteX16" fmla="*/ 1661255 w 1969753"/>
                            <a:gd name="connsiteY16" fmla="*/ 1530790 h 3582910"/>
                            <a:gd name="connsiteX17" fmla="*/ 1863274 w 1969753"/>
                            <a:gd name="connsiteY17" fmla="*/ 1360669 h 3582910"/>
                            <a:gd name="connsiteX18" fmla="*/ 1969600 w 1969753"/>
                            <a:gd name="connsiteY18" fmla="*/ 1222446 h 3582910"/>
                            <a:gd name="connsiteX19" fmla="*/ 1842009 w 1969753"/>
                            <a:gd name="connsiteY19" fmla="*/ 967264 h 3582910"/>
                            <a:gd name="connsiteX20" fmla="*/ 1725051 w 1969753"/>
                            <a:gd name="connsiteY20" fmla="*/ 680185 h 3582910"/>
                            <a:gd name="connsiteX21" fmla="*/ 1554930 w 1969753"/>
                            <a:gd name="connsiteY21" fmla="*/ 84762 h 3582910"/>
                            <a:gd name="connsiteX22" fmla="*/ 1358977 w 1969753"/>
                            <a:gd name="connsiteY22" fmla="*/ 26147 h 358291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Lst>
                          <a:rect l="l" t="t" r="r" b="b"/>
                          <a:pathLst>
                            <a:path w="1969753" h="3582910">
                              <a:moveTo>
                                <a:pt x="1358977" y="26147"/>
                              </a:moveTo>
                              <a:cubicBezTo>
                                <a:pt x="1203033" y="61589"/>
                                <a:pt x="822295" y="214988"/>
                                <a:pt x="619265" y="297413"/>
                              </a:cubicBezTo>
                              <a:cubicBezTo>
                                <a:pt x="416235" y="379838"/>
                                <a:pt x="234721" y="471078"/>
                                <a:pt x="140800" y="520697"/>
                              </a:cubicBezTo>
                              <a:cubicBezTo>
                                <a:pt x="46879" y="570316"/>
                                <a:pt x="77004" y="534874"/>
                                <a:pt x="55739" y="595125"/>
                              </a:cubicBezTo>
                              <a:cubicBezTo>
                                <a:pt x="34474" y="655376"/>
                                <a:pt x="22069" y="791827"/>
                                <a:pt x="13209" y="882204"/>
                              </a:cubicBezTo>
                              <a:cubicBezTo>
                                <a:pt x="4349" y="972581"/>
                                <a:pt x="-4512" y="1089539"/>
                                <a:pt x="2576" y="1137385"/>
                              </a:cubicBezTo>
                              <a:cubicBezTo>
                                <a:pt x="9664" y="1185232"/>
                                <a:pt x="42038" y="1123214"/>
                                <a:pt x="55739" y="1169283"/>
                              </a:cubicBezTo>
                              <a:cubicBezTo>
                                <a:pt x="69440" y="1215352"/>
                                <a:pt x="5037" y="1282663"/>
                                <a:pt x="84781" y="1413798"/>
                              </a:cubicBezTo>
                              <a:cubicBezTo>
                                <a:pt x="164525" y="1544933"/>
                                <a:pt x="365379" y="1622933"/>
                                <a:pt x="534204" y="1956092"/>
                              </a:cubicBezTo>
                              <a:cubicBezTo>
                                <a:pt x="703029" y="2289251"/>
                                <a:pt x="994948" y="3148710"/>
                                <a:pt x="1097730" y="3412752"/>
                              </a:cubicBezTo>
                              <a:cubicBezTo>
                                <a:pt x="1200512" y="3676794"/>
                                <a:pt x="1145577" y="3559836"/>
                                <a:pt x="1150893" y="3540343"/>
                              </a:cubicBezTo>
                              <a:cubicBezTo>
                                <a:pt x="1156209" y="3520850"/>
                                <a:pt x="1127856" y="3412752"/>
                                <a:pt x="1129628" y="3295794"/>
                              </a:cubicBezTo>
                              <a:cubicBezTo>
                                <a:pt x="1131400" y="3178836"/>
                                <a:pt x="1154437" y="2962640"/>
                                <a:pt x="1161525" y="2838594"/>
                              </a:cubicBezTo>
                              <a:cubicBezTo>
                                <a:pt x="1168613" y="2714548"/>
                                <a:pt x="1150893" y="2663157"/>
                                <a:pt x="1172158" y="2551515"/>
                              </a:cubicBezTo>
                              <a:cubicBezTo>
                                <a:pt x="1193423" y="2439873"/>
                                <a:pt x="1234181" y="2303422"/>
                                <a:pt x="1289116" y="2168743"/>
                              </a:cubicBezTo>
                              <a:cubicBezTo>
                                <a:pt x="1344051" y="2034064"/>
                                <a:pt x="1439744" y="1849767"/>
                                <a:pt x="1501767" y="1743441"/>
                              </a:cubicBezTo>
                              <a:cubicBezTo>
                                <a:pt x="1563790" y="1637116"/>
                                <a:pt x="1601004" y="1594585"/>
                                <a:pt x="1661255" y="1530790"/>
                              </a:cubicBezTo>
                              <a:cubicBezTo>
                                <a:pt x="1721506" y="1466995"/>
                                <a:pt x="1811883" y="1412060"/>
                                <a:pt x="1863274" y="1360669"/>
                              </a:cubicBezTo>
                              <a:cubicBezTo>
                                <a:pt x="1914665" y="1309278"/>
                                <a:pt x="1973144" y="1288014"/>
                                <a:pt x="1969600" y="1222446"/>
                              </a:cubicBezTo>
                              <a:cubicBezTo>
                                <a:pt x="1966056" y="1156879"/>
                                <a:pt x="1882767" y="1057641"/>
                                <a:pt x="1842009" y="967264"/>
                              </a:cubicBezTo>
                              <a:cubicBezTo>
                                <a:pt x="1801251" y="876887"/>
                                <a:pt x="1772897" y="827269"/>
                                <a:pt x="1725051" y="680185"/>
                              </a:cubicBezTo>
                              <a:cubicBezTo>
                                <a:pt x="1677205" y="533101"/>
                                <a:pt x="1615942" y="193768"/>
                                <a:pt x="1554930" y="84762"/>
                              </a:cubicBezTo>
                              <a:cubicBezTo>
                                <a:pt x="1493918" y="-24244"/>
                                <a:pt x="1514921" y="-9295"/>
                                <a:pt x="1358977" y="26147"/>
                              </a:cubicBezTo>
                              <a:close/>
                            </a:path>
                          </a:pathLst>
                        </a:cu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orme libre 20" o:spid="_x0000_s1026" style="position:absolute;margin-left:171.15pt;margin-top:67.7pt;width:155.05pt;height:282.1pt;z-index:25160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969753,3582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" path="m1358977,26147c1203033,61589,822295,214988,619265,297413,416235,379838,234721,471078,140800,520697,46879,570316,77004,534874,55739,595125,34474,655376,22069,791827,13209,882204,4349,972581,-4512,1089539,2576,1137385v7088,47847,39462,-14171,53163,31898c69440,1215352,5037,1282663,84781,1413798v79744,131135,280598,209135,449423,542294c703029,2289251,994948,3148710,1097730,3412752v102782,264042,47847,147084,53163,127591c1156209,3520850,1127856,3412752,1129628,3295794v1772,-116958,24809,-333154,31897,-457200c1168613,2714548,1150893,2663157,1172158,2551515v21265,-111642,62023,-248093,116958,-382772c1344051,2034064,1439744,1849767,1501767,1743441v62023,-106325,99237,-148856,159488,-212651c1721506,1466995,1811883,1412060,1863274,1360669v51391,-51391,109870,-72655,106326,-138223c1966056,1156879,1882767,1057641,1842009,967264,1801251,876887,1772897,827269,1725051,680185,1677205,533101,1615942,193768,1554930,84762,1493918,-24244,1514921,-9295,1358977,26147xe" filled="f" strokecolor="black [3213]" strokeweight="2.25pt">
                <v:path arrowok="t" o:connecttype="custom" o:connectlocs="1358551,26145;619071,297393;140756,520662;55722,595085;13205,882145;2575,1137309;55722,1169205;84754,1413703;534036,1955961;1097386,3412523;1150532,3540106;1129274,3295573;1161161,2838404;1171790,2551344;1288712,2168598;1501296,1743324;1660734,1530687;1862689,1360578;1968982,1222364;1841431,967199;1724510,680139;1554442,84756;1358551,26145" o:connectangles="0,0,0,0,0,0,0,0,0,0,0,0,0,0,0,0,0,0,0,0,0,0,0"/>
              </v:shape>
            </w:pict>
          </mc:Fallback>
        </mc:AlternateContent>
      </w:r>
      <w:r>
        <w:rPr>
          <w:noProof/>
        </w:rPr>
        <mc:AlternateContent>
          <mc:Choice Requires="wps">
            <w:drawing>
              <wp:anchor distT="0" distB="0" distL="114300" distR="114300" simplePos="0" relativeHeight="251718656" behindDoc="0" locked="0" layoutInCell="1" allowOverlap="1">
                <wp:simplePos x="0" y="0"/>
                <wp:positionH relativeFrom="column">
                  <wp:posOffset>671388</wp:posOffset>
                </wp:positionH>
                <wp:positionV relativeFrom="paragraph">
                  <wp:posOffset>4628128</wp:posOffset>
                </wp:positionV>
                <wp:extent cx="261952" cy="178297"/>
                <wp:effectExtent l="0" t="0" r="24130" b="12700"/>
                <wp:wrapNone/>
                <wp:docPr id="1355" name="Rectangle 1355"/>
                <wp:cNvGraphicFramePr/>
                <a:graphic xmlns:a="http://schemas.openxmlformats.org/drawingml/2006/main">
                  <a:graphicData uri="http://schemas.microsoft.com/office/word/2010/wordprocessingShape">
                    <wps:wsp>
                      <wps:cNvSpPr/>
                      <wps:spPr>
                        <a:xfrm>
                          <a:off x="0" y="0"/>
                          <a:ext cx="261952" cy="178297"/>
                        </a:xfrm>
                        <a:prstGeom prst="rect">
                          <a:avLst/>
                        </a:prstGeom>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1355" o:spid="_x0000_s1026" style="position:absolute;margin-left:52.85pt;margin-top:364.4pt;width:20.65pt;height:14.05pt;z-index:2517186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" fillcolor="#4f81bd [3204]" strokecolor="black [3213]" strokeweight="2pt"/>
            </w:pict>
          </mc:Fallback>
        </mc:AlternateContent>
      </w:r>
      <w:r>
        <w:rPr>
          <w:noProof/>
        </w:rPr>
        <mc:AlternateContent>
          <mc:Choice Requires="wps">
            <w:drawing>
              <wp:anchor distT="0" distB="0" distL="114300" distR="114300" simplePos="0" relativeHeight="251706368" behindDoc="0" locked="0" layoutInCell="1" allowOverlap="1">
                <wp:simplePos x="0" y="0"/>
                <wp:positionH relativeFrom="column">
                  <wp:posOffset>760730</wp:posOffset>
                </wp:positionH>
                <wp:positionV relativeFrom="paragraph">
                  <wp:posOffset>4378325</wp:posOffset>
                </wp:positionV>
                <wp:extent cx="126365" cy="158750"/>
                <wp:effectExtent l="0" t="0" r="26035" b="12700"/>
                <wp:wrapNone/>
                <wp:docPr id="1354" name="Triangle isocèle 1354"/>
                <wp:cNvGraphicFramePr/>
                <a:graphic xmlns:a="http://schemas.openxmlformats.org/drawingml/2006/main">
                  <a:graphicData uri="http://schemas.microsoft.com/office/word/2010/wordprocessingShape">
                    <wps:wsp>
                      <wps:cNvSpPr/>
                      <wps:spPr>
                        <a:xfrm>
                          <a:off x="0" y="0"/>
                          <a:ext cx="126365" cy="158750"/>
                        </a:xfrm>
                        <a:prstGeom prst="triangl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Triangle isocèle 1354" o:spid="_x0000_s1026" type="#_x0000_t5" style="position:absolute;margin-left:59.9pt;margin-top:344.75pt;width:9.95pt;height:12.5pt;z-index:2517063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" fillcolor="red" strokecolor="red" strokeweight="2pt"/>
            </w:pict>
          </mc:Fallback>
        </mc:AlternateContent>
      </w:r>
      <w:r>
        <w:rPr>
          <w:noProof/>
        </w:rPr>
        <mc:AlternateContent>
          <mc:Choice Requires="wps">
            <w:drawing>
              <wp:anchor distT="0" distB="0" distL="114300" distR="114300" simplePos="0" relativeHeight="251694080" behindDoc="0" locked="0" layoutInCell="1" allowOverlap="1">
                <wp:simplePos x="0" y="0"/>
                <wp:positionH relativeFrom="column">
                  <wp:posOffset>680085</wp:posOffset>
                </wp:positionH>
                <wp:positionV relativeFrom="paragraph">
                  <wp:posOffset>4282440</wp:posOffset>
                </wp:positionV>
                <wp:extent cx="254000" cy="0"/>
                <wp:effectExtent l="0" t="19050" r="12700" b="19050"/>
                <wp:wrapNone/>
                <wp:docPr id="1351" name="Connecteur droit 1351"/>
                <wp:cNvGraphicFramePr/>
                <a:graphic xmlns:a="http://schemas.openxmlformats.org/drawingml/2006/main">
                  <a:graphicData uri="http://schemas.microsoft.com/office/word/2010/wordprocessingShape">
                    <wps:wsp>
                      <wps:cNvCnPr/>
                      <wps:spPr>
                        <a:xfrm>
                          <a:off x="0" y="0"/>
                          <a:ext cx="254000" cy="0"/>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id="Connecteur droit 1351" o:spid="_x0000_s1026" style="position:absolute;z-index:2516940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3.55pt,337.2pt" to="73.55pt,33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" strokecolor="red" strokeweight="2.25pt"/>
            </w:pict>
          </mc:Fallback>
        </mc:AlternateContent>
      </w:r>
      <w:r>
        <w:rPr>
          <w:noProof/>
        </w:rPr>
        <mc:AlternateContent>
          <mc:Choice Requires="wps">
            <w:drawing>
              <wp:anchor distT="0" distB="0" distL="114300" distR="114300" simplePos="0" relativeHeight="251681792" behindDoc="0" locked="0" layoutInCell="1" allowOverlap="1">
                <wp:simplePos x="0" y="0"/>
                <wp:positionH relativeFrom="column">
                  <wp:posOffset>672465</wp:posOffset>
                </wp:positionH>
                <wp:positionV relativeFrom="paragraph">
                  <wp:posOffset>4043680</wp:posOffset>
                </wp:positionV>
                <wp:extent cx="254000" cy="0"/>
                <wp:effectExtent l="0" t="19050" r="12700" b="19050"/>
                <wp:wrapNone/>
                <wp:docPr id="1348" name="Connecteur droit 1348"/>
                <wp:cNvGraphicFramePr/>
                <a:graphic xmlns:a="http://schemas.openxmlformats.org/drawingml/2006/main">
                  <a:graphicData uri="http://schemas.microsoft.com/office/word/2010/wordprocessingShape">
                    <wps:wsp>
                      <wps:cNvCnPr/>
                      <wps:spPr>
                        <a:xfrm>
                          <a:off x="0" y="0"/>
                          <a:ext cx="254000" cy="0"/>
                        </a:xfrm>
                        <a:prstGeom prst="line">
                          <a:avLst/>
                        </a:prstGeom>
                        <a:ln w="28575">
                          <a:solidFill>
                            <a:srgbClr val="FFFF00"/>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id="Connecteur droit 1348" o:spid="_x0000_s1026" style="position:absolute;z-index:2516817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2.95pt,318.4pt" to="72.95pt,31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" strokecolor="yellow" strokeweight="2.25pt"/>
            </w:pict>
          </mc:Fallback>
        </mc:AlternateContent>
      </w:r>
      <w:r>
        <w:rPr>
          <w:noProof/>
        </w:rPr>
        <mc:AlternateContent>
          <mc:Choice Requires="wps">
            <w:drawing>
              <wp:anchor distT="0" distB="0" distL="114300" distR="114300" simplePos="0" relativeHeight="251669504" behindDoc="0" locked="0" layoutInCell="1" allowOverlap="1">
                <wp:simplePos x="0" y="0"/>
                <wp:positionH relativeFrom="column">
                  <wp:posOffset>671388</wp:posOffset>
                </wp:positionH>
                <wp:positionV relativeFrom="paragraph">
                  <wp:posOffset>3828084</wp:posOffset>
                </wp:positionV>
                <wp:extent cx="254000" cy="0"/>
                <wp:effectExtent l="0" t="19050" r="12700" b="19050"/>
                <wp:wrapNone/>
                <wp:docPr id="1347" name="Connecteur droit 1347"/>
                <wp:cNvGraphicFramePr/>
                <a:graphic xmlns:a="http://schemas.openxmlformats.org/drawingml/2006/main">
                  <a:graphicData uri="http://schemas.microsoft.com/office/word/2010/wordprocessingShape">
                    <wps:wsp>
                      <wps:cNvCnPr/>
                      <wps:spPr>
                        <a:xfrm>
                          <a:off x="0" y="0"/>
                          <a:ext cx="254000" cy="0"/>
                        </a:xfrm>
                        <a:prstGeom prst="line">
                          <a:avLst/>
                        </a:prstGeom>
                        <a:ln w="28575">
                          <a:solidFill>
                            <a:srgbClr val="0BFB16"/>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id="Connecteur droit 1347" o:spid="_x0000_s1026" style="position:absolute;z-index:2516695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2.85pt,301.4pt" to="72.85pt,30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" strokecolor="#0bfb16" strokeweight="2.25pt"/>
            </w:pict>
          </mc:Fallback>
        </mc:AlternateContent>
      </w:r>
      <w:r>
        <w:rPr>
          <w:noProof/>
        </w:rPr>
        <w:drawing>
          <wp:anchor distT="0" distB="0" distL="114300" distR="114300" simplePos="0" relativeHeight="251583488" behindDoc="0" locked="0" layoutInCell="1" allowOverlap="1">
            <wp:simplePos x="0" y="0"/>
            <wp:positionH relativeFrom="column">
              <wp:posOffset>529342</wp:posOffset>
            </wp:positionH>
            <wp:positionV relativeFrom="paragraph">
              <wp:posOffset>-3175</wp:posOffset>
            </wp:positionV>
            <wp:extent cx="551180" cy="636270"/>
            <wp:effectExtent l="19050" t="19050" r="20320" b="11430"/>
            <wp:wrapNone/>
            <wp:docPr id="13" name="Imag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7" cstate="print"/>
                    <a:srcRect/>
                    <a:stretch>
                      <a:fillRect/>
                    </a:stretch>
                  </pic:blipFill>
                  <pic:spPr bwMode="auto">
                    <a:xfrm>
                      <a:off x="0" y="0"/>
                      <a:ext cx="551180" cy="636270"/>
                    </a:xfrm>
                    <a:prstGeom prst="rect">
                      <a:avLst/>
                    </a:prstGeom>
                    <a:noFill/>
                    <a:ln w="12573">
                      <a:solidFill>
                        <a:schemeClr val="tx1"/>
                      </a:solidFill>
                      <a:miter lim="800000"/>
                      <a:headEnd/>
                      <a:tailEnd/>
                    </a:ln>
                    <a:effectLst/>
                  </pic:spPr>
                </pic:pic>
              </a:graphicData>
            </a:graphic>
          </wp:anchor>
        </w:drawing>
      </w:r>
      <w:r>
        <w:rPr>
          <w:noProof/>
        </w:rPr>
        <w:t xml:space="preserve"> </w:t>
      </w:r>
      <w:r>
        <w:rPr>
          <w:noProof/>
        </w:rPr>
        <w:drawing>
          <wp:inline distT="0" distB="0" distL="0" distR="0">
            <wp:extent cx="5088835" cy="4875788"/>
            <wp:effectExtent l="19050" t="19050" r="17145" b="2032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srcRect t="3464"/>
                    <a:stretch/>
                  </pic:blipFill>
                  <pic:spPr bwMode="auto">
                    <a:xfrm>
                      <a:off x="0" y="0"/>
                      <a:ext cx="5086350" cy="4873407"/>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pPr>
        <w:pStyle w:val="Lgende"/>
        <w:jc w:val="left"/>
        <w:rPr>
          <w:szCs w:val="20"/>
        </w:rPr>
      </w:pPr>
      <w:bookmarkStart w:id="39" w:name="_Toc498678963"/>
      <w:bookmarkStart w:id="40" w:name="_Toc531679577"/>
      <w:bookmarkStart w:id="41" w:name="_Toc12269019"/>
      <w:bookmarkStart w:id="42" w:name="_Toc18586888"/>
      <w:bookmarkStart w:id="43" w:name="_Toc51161053"/>
      <w:r>
        <w:rPr>
          <w:szCs w:val="20"/>
        </w:rPr>
        <w:t xml:space="preserve">                 Création du réseau d’assainissement </w:t>
      </w:r>
      <w:bookmarkEnd w:id="39"/>
      <w:bookmarkEnd w:id="40"/>
      <w:r>
        <w:rPr>
          <w:szCs w:val="20"/>
        </w:rPr>
        <w:t xml:space="preserve">secteur </w:t>
      </w:r>
      <w:r>
        <w:t xml:space="preserve">les </w:t>
      </w:r>
      <w:proofErr w:type="spellStart"/>
      <w:r>
        <w:t>Dardalounes</w:t>
      </w:r>
      <w:proofErr w:type="spellEnd"/>
      <w:r>
        <w:t xml:space="preserve"> – scénario 1</w:t>
      </w:r>
      <w:r>
        <w:rPr>
          <w:szCs w:val="20"/>
        </w:rPr>
        <w:t>.</w:t>
      </w:r>
      <w:bookmarkEnd w:id="41"/>
      <w:bookmarkEnd w:id="42"/>
      <w:bookmarkEnd w:id="43"/>
    </w:p>
    <w:p>
      <w:pPr>
        <w:pStyle w:val="Retrait20"/>
      </w:pPr>
      <w:bookmarkStart w:id="44" w:name="_Toc46480270"/>
      <w:bookmarkEnd w:id="32"/>
      <w:r>
        <w:rPr>
          <w:b/>
          <w:u w:val="single"/>
        </w:rPr>
        <w:lastRenderedPageBreak/>
        <w:t>Scénario 2</w:t>
      </w:r>
      <w:r>
        <w:t> : raccordement vers le réseau situé au Sud (Mitra)</w:t>
      </w:r>
    </w:p>
    <w:p>
      <w:r>
        <w:t xml:space="preserve"> Les travaux de raccordement au système d’assainissement collectif consistent en la création :</w:t>
      </w:r>
    </w:p>
    <w:p>
      <w:pPr>
        <w:pStyle w:val="Retrait3"/>
        <w:tabs>
          <w:tab w:val="clear" w:pos="1778"/>
        </w:tabs>
        <w:ind w:left="1248" w:hanging="284"/>
      </w:pPr>
      <w:r>
        <w:t>d’un réseau de collecte gravitaire en PVC de diamètre 200 mm sur un linéaire de 800 ml,</w:t>
      </w:r>
    </w:p>
    <w:p>
      <w:r>
        <w:t>Il faut noter que la totalité des travaux se situe sur des voies publiques.</w:t>
      </w:r>
    </w:p>
    <w:p>
      <w:pPr>
        <w:pStyle w:val="Retrait3"/>
        <w:numPr>
          <w:ilvl w:val="0"/>
          <w:numId w:val="0"/>
        </w:numPr>
        <w:spacing w:before="0"/>
        <w:ind w:left="1778"/>
      </w:pPr>
    </w:p>
    <w:tbl>
      <w:tblPr>
        <w:tblStyle w:val="Grilledutableau"/>
        <w:tblW w:w="0" w:type="auto"/>
        <w:jc w:val="center"/>
        <w:tblLook w:val="04A0" w:firstRow="1" w:lastRow="0" w:firstColumn="1" w:lastColumn="0" w:noHBand="0" w:noVBand="1"/>
      </w:tblPr>
      <w:tblGrid>
        <w:gridCol w:w="5070"/>
        <w:gridCol w:w="1842"/>
      </w:tblGrid>
      <w:tr>
        <w:trPr>
          <w:jc w:val="center"/>
        </w:trPr>
        <w:tc>
          <w:tcPr>
            <w:tcW w:w="6912" w:type="dxa"/>
            <w:gridSpan w:val="2"/>
            <w:shd w:val="clear" w:color="auto" w:fill="B8CCE4" w:themeFill="accent1" w:themeFillTint="66"/>
            <w:vAlign w:val="center"/>
          </w:tcPr>
          <w:p>
            <w:pPr>
              <w:spacing w:before="60" w:after="60"/>
              <w:jc w:val="center"/>
            </w:pPr>
            <w:r>
              <w:rPr>
                <w:rFonts w:cs="Calibri"/>
                <w:b/>
                <w:bCs/>
                <w:color w:val="FFFFFF"/>
              </w:rPr>
              <w:t>Approche du coût d’investissement</w:t>
            </w:r>
          </w:p>
        </w:tc>
      </w:tr>
      <w:tr>
        <w:trPr>
          <w:jc w:val="center"/>
        </w:trPr>
        <w:tc>
          <w:tcPr>
            <w:tcW w:w="5070" w:type="dxa"/>
            <w:vAlign w:val="center"/>
          </w:tcPr>
          <w:p>
            <w:pPr>
              <w:rPr>
                <w:color w:val="000000"/>
              </w:rPr>
            </w:pPr>
            <w:r>
              <w:t>Missions connexes*</w:t>
            </w:r>
          </w:p>
        </w:tc>
        <w:tc>
          <w:tcPr>
            <w:tcW w:w="1842" w:type="dxa"/>
            <w:vAlign w:val="center"/>
          </w:tcPr>
          <w:p>
            <w:pPr>
              <w:jc w:val="center"/>
              <w:rPr>
                <w:color w:val="000000"/>
              </w:rPr>
            </w:pPr>
            <w:r>
              <w:t>35 600 €</w:t>
            </w:r>
          </w:p>
        </w:tc>
      </w:tr>
      <w:tr>
        <w:trPr>
          <w:jc w:val="center"/>
        </w:trPr>
        <w:tc>
          <w:tcPr>
            <w:tcW w:w="5070" w:type="dxa"/>
            <w:vAlign w:val="center"/>
          </w:tcPr>
          <w:p>
            <w:pPr>
              <w:rPr>
                <w:color w:val="000000"/>
              </w:rPr>
            </w:pPr>
            <w:r>
              <w:t>Réseau d’assainissement</w:t>
            </w:r>
          </w:p>
        </w:tc>
        <w:tc>
          <w:tcPr>
            <w:tcW w:w="1842" w:type="dxa"/>
            <w:vAlign w:val="center"/>
          </w:tcPr>
          <w:p>
            <w:pPr>
              <w:jc w:val="center"/>
            </w:pPr>
            <w:r>
              <w:t>239 400 €</w:t>
            </w:r>
          </w:p>
        </w:tc>
      </w:tr>
      <w:tr>
        <w:trPr>
          <w:jc w:val="center"/>
        </w:trPr>
        <w:tc>
          <w:tcPr>
            <w:tcW w:w="5070" w:type="dxa"/>
            <w:vAlign w:val="center"/>
          </w:tcPr>
          <w:p>
            <w:r>
              <w:t>Branchement</w:t>
            </w:r>
          </w:p>
        </w:tc>
        <w:tc>
          <w:tcPr>
            <w:tcW w:w="1842" w:type="dxa"/>
            <w:vAlign w:val="center"/>
          </w:tcPr>
          <w:p>
            <w:pPr>
              <w:jc w:val="center"/>
            </w:pPr>
            <w:r>
              <w:t>10 000 €</w:t>
            </w:r>
          </w:p>
        </w:tc>
      </w:tr>
      <w:tr>
        <w:trPr>
          <w:jc w:val="center"/>
        </w:trPr>
        <w:tc>
          <w:tcPr>
            <w:tcW w:w="5070" w:type="dxa"/>
            <w:vAlign w:val="center"/>
          </w:tcPr>
          <w:p>
            <w:pPr>
              <w:rPr>
                <w:b/>
                <w:color w:val="000000"/>
              </w:rPr>
            </w:pPr>
            <w:r>
              <w:rPr>
                <w:b/>
              </w:rPr>
              <w:t>Total coût d’opération €HT</w:t>
            </w:r>
          </w:p>
        </w:tc>
        <w:tc>
          <w:tcPr>
            <w:tcW w:w="1842" w:type="dxa"/>
            <w:vAlign w:val="center"/>
          </w:tcPr>
          <w:p>
            <w:pPr>
              <w:jc w:val="center"/>
              <w:rPr>
                <w:b/>
                <w:color w:val="000000"/>
              </w:rPr>
            </w:pPr>
            <w:r>
              <w:rPr>
                <w:b/>
              </w:rPr>
              <w:t>285 000 €</w:t>
            </w:r>
          </w:p>
        </w:tc>
      </w:tr>
    </w:tbl>
    <w:p>
      <w:pPr>
        <w:pStyle w:val="Lgende"/>
        <w:jc w:val="left"/>
        <w:rPr>
          <w:szCs w:val="20"/>
        </w:rPr>
      </w:pPr>
      <w:r>
        <w:rPr>
          <w:szCs w:val="20"/>
        </w:rPr>
        <w:t xml:space="preserve">                             Synthèse des coûts scénario réseau d’assainissement (secteur </w:t>
      </w:r>
      <w:r>
        <w:t xml:space="preserve">les </w:t>
      </w:r>
      <w:proofErr w:type="spellStart"/>
      <w:r>
        <w:t>Dardalounes</w:t>
      </w:r>
      <w:proofErr w:type="spellEnd"/>
      <w:r>
        <w:t xml:space="preserve"> – scénario 2)</w:t>
      </w:r>
    </w:p>
    <w:p>
      <w:r>
        <w:t xml:space="preserve">* </w:t>
      </w:r>
      <w:r>
        <w:rPr>
          <w:i/>
        </w:rPr>
        <w:t>Les missions connexes correspondent aux missions de maitrise d’œuvre, géotechnique, SPS, topographique, contrôle technique, concertation des riverains et les frais d’établissement des conventions et des servitudes pour les travaux.</w:t>
      </w:r>
    </w:p>
    <w:p>
      <w:pPr>
        <w:spacing w:after="120"/>
      </w:pPr>
      <w:r>
        <w:t>Le coût de ce scénario est de l’ordre de 285 000 €HT.</w:t>
      </w:r>
    </w:p>
    <w:p>
      <w:pPr>
        <w:jc w:val="center"/>
      </w:pPr>
      <w:r>
        <w:rPr>
          <w:noProof/>
        </w:rPr>
        <w:drawing>
          <wp:anchor distT="0" distB="0" distL="114300" distR="114300" simplePos="0" relativeHeight="251730944" behindDoc="0" locked="0" layoutInCell="1" allowOverlap="1">
            <wp:simplePos x="0" y="0"/>
            <wp:positionH relativeFrom="column">
              <wp:posOffset>59690</wp:posOffset>
            </wp:positionH>
            <wp:positionV relativeFrom="paragraph">
              <wp:posOffset>20320</wp:posOffset>
            </wp:positionV>
            <wp:extent cx="551180" cy="636270"/>
            <wp:effectExtent l="19050" t="19050" r="20320" b="11430"/>
            <wp:wrapNone/>
            <wp:docPr id="233" name="Imag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7" cstate="print"/>
                    <a:srcRect/>
                    <a:stretch>
                      <a:fillRect/>
                    </a:stretch>
                  </pic:blipFill>
                  <pic:spPr bwMode="auto">
                    <a:xfrm>
                      <a:off x="0" y="0"/>
                      <a:ext cx="551180" cy="636270"/>
                    </a:xfrm>
                    <a:prstGeom prst="rect">
                      <a:avLst/>
                    </a:prstGeom>
                    <a:noFill/>
                    <a:ln w="12573">
                      <a:solidFill>
                        <a:schemeClr val="tx1"/>
                      </a:solidFill>
                      <a:miter lim="800000"/>
                      <a:headEnd/>
                      <a:tailEnd/>
                    </a:ln>
                    <a:effectLst/>
                  </pic:spPr>
                </pic:pic>
              </a:graphicData>
            </a:graphic>
          </wp:anchor>
        </w:drawing>
      </w:r>
      <w:r>
        <w:rPr>
          <w:noProof/>
        </w:rPr>
        <mc:AlternateContent>
          <mc:Choice Requires="wps">
            <w:drawing>
              <wp:anchor distT="0" distB="0" distL="114300" distR="114300" simplePos="0" relativeHeight="251767808" behindDoc="0" locked="0" layoutInCell="1" allowOverlap="1">
                <wp:simplePos x="0" y="0"/>
                <wp:positionH relativeFrom="column">
                  <wp:posOffset>201930</wp:posOffset>
                </wp:positionH>
                <wp:positionV relativeFrom="paragraph">
                  <wp:posOffset>4337050</wp:posOffset>
                </wp:positionV>
                <wp:extent cx="254000" cy="0"/>
                <wp:effectExtent l="0" t="19050" r="12700" b="19050"/>
                <wp:wrapNone/>
                <wp:docPr id="226" name="Connecteur droit 226"/>
                <wp:cNvGraphicFramePr/>
                <a:graphic xmlns:a="http://schemas.openxmlformats.org/drawingml/2006/main">
                  <a:graphicData uri="http://schemas.microsoft.com/office/word/2010/wordprocessingShape">
                    <wps:wsp>
                      <wps:cNvCnPr/>
                      <wps:spPr>
                        <a:xfrm>
                          <a:off x="0" y="0"/>
                          <a:ext cx="254000" cy="0"/>
                        </a:xfrm>
                        <a:prstGeom prst="line">
                          <a:avLst/>
                        </a:prstGeom>
                        <a:ln w="28575">
                          <a:solidFill>
                            <a:srgbClr val="0BFB16"/>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id="Connecteur droit 226" o:spid="_x0000_s1026" style="position:absolute;z-index:2517678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5.9pt,341.5pt" to="35.9pt,3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" strokecolor="#0bfb16" strokeweight="2.25pt"/>
            </w:pict>
          </mc:Fallback>
        </mc:AlternateContent>
      </w:r>
      <w:r>
        <w:rPr>
          <w:noProof/>
        </w:rPr>
        <mc:AlternateContent>
          <mc:Choice Requires="wps">
            <w:drawing>
              <wp:anchor distT="0" distB="0" distL="114300" distR="114300" simplePos="0" relativeHeight="251780096" behindDoc="0" locked="0" layoutInCell="1" allowOverlap="1">
                <wp:simplePos x="0" y="0"/>
                <wp:positionH relativeFrom="column">
                  <wp:posOffset>203200</wp:posOffset>
                </wp:positionH>
                <wp:positionV relativeFrom="paragraph">
                  <wp:posOffset>4552950</wp:posOffset>
                </wp:positionV>
                <wp:extent cx="254000" cy="0"/>
                <wp:effectExtent l="0" t="19050" r="12700" b="19050"/>
                <wp:wrapNone/>
                <wp:docPr id="225" name="Connecteur droit 225"/>
                <wp:cNvGraphicFramePr/>
                <a:graphic xmlns:a="http://schemas.openxmlformats.org/drawingml/2006/main">
                  <a:graphicData uri="http://schemas.microsoft.com/office/word/2010/wordprocessingShape">
                    <wps:wsp>
                      <wps:cNvCnPr/>
                      <wps:spPr>
                        <a:xfrm>
                          <a:off x="0" y="0"/>
                          <a:ext cx="254000" cy="0"/>
                        </a:xfrm>
                        <a:prstGeom prst="line">
                          <a:avLst/>
                        </a:prstGeom>
                        <a:ln w="28575">
                          <a:solidFill>
                            <a:srgbClr val="FFFF00"/>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id="Connecteur droit 225" o:spid="_x0000_s1026" style="position:absolute;z-index:2517800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6pt,358.5pt" to="36pt,3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" strokecolor="yellow" strokeweight="2.25pt"/>
            </w:pict>
          </mc:Fallback>
        </mc:AlternateContent>
      </w:r>
      <w:r>
        <w:rPr>
          <w:noProof/>
        </w:rPr>
        <mc:AlternateContent>
          <mc:Choice Requires="wps">
            <w:drawing>
              <wp:anchor distT="0" distB="0" distL="114300" distR="114300" simplePos="0" relativeHeight="251792384" behindDoc="0" locked="0" layoutInCell="1" allowOverlap="1">
                <wp:simplePos x="0" y="0"/>
                <wp:positionH relativeFrom="column">
                  <wp:posOffset>201930</wp:posOffset>
                </wp:positionH>
                <wp:positionV relativeFrom="paragraph">
                  <wp:posOffset>4709795</wp:posOffset>
                </wp:positionV>
                <wp:extent cx="261620" cy="177800"/>
                <wp:effectExtent l="0" t="0" r="24130" b="12700"/>
                <wp:wrapNone/>
                <wp:docPr id="1364" name="Rectangle 1364"/>
                <wp:cNvGraphicFramePr/>
                <a:graphic xmlns:a="http://schemas.openxmlformats.org/drawingml/2006/main">
                  <a:graphicData uri="http://schemas.microsoft.com/office/word/2010/wordprocessingShape">
                    <wps:wsp>
                      <wps:cNvSpPr/>
                      <wps:spPr>
                        <a:xfrm>
                          <a:off x="0" y="0"/>
                          <a:ext cx="261620" cy="177800"/>
                        </a:xfrm>
                        <a:prstGeom prst="rect">
                          <a:avLst/>
                        </a:prstGeom>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1364" o:spid="_x0000_s1026" style="position:absolute;margin-left:15.9pt;margin-top:370.85pt;width:20.6pt;height:14pt;z-index:251792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" fillcolor="#4f81bd [3204]" strokecolor="black [3213]" strokeweight="2pt"/>
            </w:pict>
          </mc:Fallback>
        </mc:AlternateContent>
      </w:r>
      <w:r>
        <w:rPr>
          <w:noProof/>
        </w:rPr>
        <mc:AlternateContent>
          <mc:Choice Requires="wps">
            <w:drawing>
              <wp:anchor distT="0" distB="0" distL="114300" distR="114300" simplePos="0" relativeHeight="251755520" behindDoc="0" locked="0" layoutInCell="1" allowOverlap="1">
                <wp:simplePos x="0" y="0"/>
                <wp:positionH relativeFrom="column">
                  <wp:posOffset>56653</wp:posOffset>
                </wp:positionH>
                <wp:positionV relativeFrom="paragraph">
                  <wp:posOffset>3920684</wp:posOffset>
                </wp:positionV>
                <wp:extent cx="1764665" cy="1064895"/>
                <wp:effectExtent l="0" t="0" r="26035" b="20955"/>
                <wp:wrapNone/>
                <wp:docPr id="1358"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64665" cy="1064895"/>
                        </a:xfrm>
                        <a:prstGeom prst="rect">
                          <a:avLst/>
                        </a:prstGeom>
                        <a:solidFill>
                          <a:srgbClr val="FFFFFF"/>
                        </a:solidFill>
                        <a:ln w="9525">
                          <a:solidFill>
                            <a:srgbClr val="000000"/>
                          </a:solidFill>
                          <a:miter lim="800000"/>
                          <a:headEnd/>
                          <a:tailEnd/>
                        </a:ln>
                      </wps:spPr>
                      <wps:txbx>
                        <w:txbxContent>
                          <w:p>
                            <w:pPr>
                              <w:jc w:val="center"/>
                              <w:rPr>
                                <w:b/>
                              </w:rPr>
                            </w:pPr>
                            <w:r>
                              <w:rPr>
                                <w:b/>
                              </w:rPr>
                              <w:t>Légende</w:t>
                            </w:r>
                          </w:p>
                          <w:p>
                            <w:r>
                              <w:tab/>
                              <w:t>Réseau EU existant</w:t>
                            </w:r>
                          </w:p>
                          <w:p>
                            <w:r>
                              <w:tab/>
                              <w:t>Réseau gravitaire</w:t>
                            </w:r>
                          </w:p>
                          <w:p>
                            <w:r>
                              <w:tab/>
                              <w:t>Zone à raccorder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2" type="#_x0000_t202" style="position:absolute;left:0;text-align:left;margin-left:4.45pt;margin-top:308.7pt;width:138.95pt;height:83.85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">
                <v:textbox>
                  <w:txbxContent>
                    <w:p>
                      <w:pPr>
                        <w:jc w:val="center"/>
                        <w:rPr>
                          <w:b/>
                        </w:rPr>
                      </w:pPr>
                      <w:r>
                        <w:rPr>
                          <w:b/>
                        </w:rPr>
                        <w:t>Légende</w:t>
                      </w:r>
                    </w:p>
                    <w:p>
                      <w:r>
                        <w:tab/>
                        <w:t>Réseau EU existant</w:t>
                      </w:r>
                    </w:p>
                    <w:p>
                      <w:r>
                        <w:tab/>
                        <w:t>Réseau gravitaire</w:t>
                      </w:r>
                    </w:p>
                    <w:p>
                      <w:r>
                        <w:tab/>
                        <w:t>Zone à raccorder</w:t>
                      </w:r>
                    </w:p>
                  </w:txbxContent>
                </v:textbox>
              </v:shape>
            </w:pict>
          </mc:Fallback>
        </mc:AlternateContent>
      </w:r>
      <w:r>
        <w:rPr>
          <w:noProof/>
        </w:rPr>
        <mc:AlternateContent>
          <mc:Choice Requires="wps">
            <w:drawing>
              <wp:anchor distT="0" distB="0" distL="114300" distR="114300" simplePos="0" relativeHeight="251743232" behindDoc="0" locked="0" layoutInCell="1" allowOverlap="1">
                <wp:simplePos x="0" y="0"/>
                <wp:positionH relativeFrom="column">
                  <wp:posOffset>1525717</wp:posOffset>
                </wp:positionH>
                <wp:positionV relativeFrom="paragraph">
                  <wp:posOffset>763807</wp:posOffset>
                </wp:positionV>
                <wp:extent cx="1971561" cy="2914595"/>
                <wp:effectExtent l="0" t="0" r="10160" b="19685"/>
                <wp:wrapNone/>
                <wp:docPr id="1359" name="Forme libre 1359"/>
                <wp:cNvGraphicFramePr/>
                <a:graphic xmlns:a="http://schemas.openxmlformats.org/drawingml/2006/main">
                  <a:graphicData uri="http://schemas.microsoft.com/office/word/2010/wordprocessingShape">
                    <wps:wsp>
                      <wps:cNvSpPr/>
                      <wps:spPr>
                        <a:xfrm>
                          <a:off x="0" y="0"/>
                          <a:ext cx="1971561" cy="2914595"/>
                        </a:xfrm>
                        <a:custGeom>
                          <a:avLst/>
                          <a:gdLst>
                            <a:gd name="connsiteX0" fmla="*/ 0 w 1248115"/>
                            <a:gd name="connsiteY0" fmla="*/ 0 h 2417667"/>
                            <a:gd name="connsiteX1" fmla="*/ 492981 w 1248115"/>
                            <a:gd name="connsiteY1" fmla="*/ 985961 h 2417667"/>
                            <a:gd name="connsiteX2" fmla="*/ 866693 w 1248115"/>
                            <a:gd name="connsiteY2" fmla="*/ 1582309 h 2417667"/>
                            <a:gd name="connsiteX3" fmla="*/ 1224501 w 1248115"/>
                            <a:gd name="connsiteY3" fmla="*/ 2282024 h 2417667"/>
                            <a:gd name="connsiteX4" fmla="*/ 1184745 w 1248115"/>
                            <a:gd name="connsiteY4" fmla="*/ 2417196 h 2417667"/>
                            <a:gd name="connsiteX0" fmla="*/ 0 w 1971571"/>
                            <a:gd name="connsiteY0" fmla="*/ 0 h 2914864"/>
                            <a:gd name="connsiteX1" fmla="*/ 492981 w 1971571"/>
                            <a:gd name="connsiteY1" fmla="*/ 985961 h 2914864"/>
                            <a:gd name="connsiteX2" fmla="*/ 866693 w 1971571"/>
                            <a:gd name="connsiteY2" fmla="*/ 1582309 h 2914864"/>
                            <a:gd name="connsiteX3" fmla="*/ 1224501 w 1971571"/>
                            <a:gd name="connsiteY3" fmla="*/ 2282024 h 2914864"/>
                            <a:gd name="connsiteX4" fmla="*/ 1969053 w 1971571"/>
                            <a:gd name="connsiteY4" fmla="*/ 2914857 h 2914864"/>
                            <a:gd name="connsiteX0" fmla="*/ 0 w 1971988"/>
                            <a:gd name="connsiteY0" fmla="*/ 0 h 2914862"/>
                            <a:gd name="connsiteX1" fmla="*/ 492981 w 1971988"/>
                            <a:gd name="connsiteY1" fmla="*/ 985961 h 2914862"/>
                            <a:gd name="connsiteX2" fmla="*/ 866693 w 1971988"/>
                            <a:gd name="connsiteY2" fmla="*/ 1582309 h 2914862"/>
                            <a:gd name="connsiteX3" fmla="*/ 1315714 w 1971988"/>
                            <a:gd name="connsiteY3" fmla="*/ 2197253 h 2914862"/>
                            <a:gd name="connsiteX4" fmla="*/ 1969053 w 1971988"/>
                            <a:gd name="connsiteY4" fmla="*/ 2914857 h 2914862"/>
                            <a:gd name="connsiteX0" fmla="*/ 0 w 1972011"/>
                            <a:gd name="connsiteY0" fmla="*/ 0 h 2914863"/>
                            <a:gd name="connsiteX1" fmla="*/ 492981 w 1972011"/>
                            <a:gd name="connsiteY1" fmla="*/ 985961 h 2914863"/>
                            <a:gd name="connsiteX2" fmla="*/ 866693 w 1972011"/>
                            <a:gd name="connsiteY2" fmla="*/ 1582309 h 2914863"/>
                            <a:gd name="connsiteX3" fmla="*/ 1315714 w 1972011"/>
                            <a:gd name="connsiteY3" fmla="*/ 2197253 h 2914863"/>
                            <a:gd name="connsiteX4" fmla="*/ 1969053 w 1972011"/>
                            <a:gd name="connsiteY4" fmla="*/ 2914857 h 2914863"/>
                            <a:gd name="connsiteX0" fmla="*/ 0 w 1972098"/>
                            <a:gd name="connsiteY0" fmla="*/ 0 h 2914863"/>
                            <a:gd name="connsiteX1" fmla="*/ 492981 w 1972098"/>
                            <a:gd name="connsiteY1" fmla="*/ 985961 h 2914863"/>
                            <a:gd name="connsiteX2" fmla="*/ 866693 w 1972098"/>
                            <a:gd name="connsiteY2" fmla="*/ 1582309 h 2914863"/>
                            <a:gd name="connsiteX3" fmla="*/ 1315714 w 1972098"/>
                            <a:gd name="connsiteY3" fmla="*/ 2197253 h 2914863"/>
                            <a:gd name="connsiteX4" fmla="*/ 1969053 w 1972098"/>
                            <a:gd name="connsiteY4" fmla="*/ 2914857 h 291486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72098" h="2914863">
                              <a:moveTo>
                                <a:pt x="0" y="0"/>
                              </a:moveTo>
                              <a:cubicBezTo>
                                <a:pt x="174266" y="361121"/>
                                <a:pt x="348532" y="722243"/>
                                <a:pt x="492981" y="985961"/>
                              </a:cubicBezTo>
                              <a:cubicBezTo>
                                <a:pt x="637430" y="1249679"/>
                                <a:pt x="729571" y="1380427"/>
                                <a:pt x="866693" y="1582309"/>
                              </a:cubicBezTo>
                              <a:cubicBezTo>
                                <a:pt x="1003815" y="1784191"/>
                                <a:pt x="1111685" y="1934813"/>
                                <a:pt x="1315714" y="2197253"/>
                              </a:cubicBezTo>
                              <a:cubicBezTo>
                                <a:pt x="1519743" y="2459693"/>
                                <a:pt x="2015435" y="2916845"/>
                                <a:pt x="1969053" y="2914857"/>
                              </a:cubicBezTo>
                            </a:path>
                          </a:pathLst>
                        </a:cu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orme libre 1359" o:spid="_x0000_s1026" style="position:absolute;margin-left:120.15pt;margin-top:60.15pt;width:155.25pt;height:229.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972098,29148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" path="m,c174266,361121,348532,722243,492981,985961v144449,263718,236590,394466,373712,596348c1003815,1784191,1111685,1934813,1315714,2197253v204029,262440,699721,719592,653339,717604e" filled="f" strokecolor="yellow" strokeweight="2pt">
                <v:path arrowok="t" o:connecttype="custom" o:connectlocs="0,0;492847,985870;866457,1582164;1315356,2197051;1968517,2914589" o:connectangles="0,0,0,0,0"/>
              </v:shape>
            </w:pict>
          </mc:Fallback>
        </mc:AlternateContent>
      </w:r>
      <w:r>
        <w:rPr>
          <w:noProof/>
        </w:rPr>
        <mc:AlternateContent>
          <mc:Choice Requires="wps">
            <w:drawing>
              <wp:anchor distT="0" distB="0" distL="114300" distR="114300" simplePos="0" relativeHeight="251804672" behindDoc="0" locked="0" layoutInCell="1" allowOverlap="1">
                <wp:simplePos x="0" y="0"/>
                <wp:positionH relativeFrom="column">
                  <wp:posOffset>1455378</wp:posOffset>
                </wp:positionH>
                <wp:positionV relativeFrom="paragraph">
                  <wp:posOffset>422164</wp:posOffset>
                </wp:positionV>
                <wp:extent cx="907696" cy="1587579"/>
                <wp:effectExtent l="0" t="0" r="26035" b="12700"/>
                <wp:wrapNone/>
                <wp:docPr id="243" name="Forme libre 243"/>
                <wp:cNvGraphicFramePr/>
                <a:graphic xmlns:a="http://schemas.openxmlformats.org/drawingml/2006/main">
                  <a:graphicData uri="http://schemas.microsoft.com/office/word/2010/wordprocessingShape">
                    <wps:wsp>
                      <wps:cNvSpPr/>
                      <wps:spPr>
                        <a:xfrm>
                          <a:off x="0" y="0"/>
                          <a:ext cx="907696" cy="1587579"/>
                        </a:xfrm>
                        <a:custGeom>
                          <a:avLst/>
                          <a:gdLst>
                            <a:gd name="connsiteX0" fmla="*/ 828196 w 934516"/>
                            <a:gd name="connsiteY0" fmla="*/ 381703 h 1585626"/>
                            <a:gd name="connsiteX1" fmla="*/ 732780 w 934516"/>
                            <a:gd name="connsiteY1" fmla="*/ 198823 h 1585626"/>
                            <a:gd name="connsiteX2" fmla="*/ 708926 w 934516"/>
                            <a:gd name="connsiteY2" fmla="*/ 63650 h 1585626"/>
                            <a:gd name="connsiteX3" fmla="*/ 677121 w 934516"/>
                            <a:gd name="connsiteY3" fmla="*/ 40 h 1585626"/>
                            <a:gd name="connsiteX4" fmla="*/ 518095 w 934516"/>
                            <a:gd name="connsiteY4" fmla="*/ 71602 h 1585626"/>
                            <a:gd name="connsiteX5" fmla="*/ 335215 w 934516"/>
                            <a:gd name="connsiteY5" fmla="*/ 143163 h 1585626"/>
                            <a:gd name="connsiteX6" fmla="*/ 96676 w 934516"/>
                            <a:gd name="connsiteY6" fmla="*/ 222676 h 1585626"/>
                            <a:gd name="connsiteX7" fmla="*/ 64871 w 934516"/>
                            <a:gd name="connsiteY7" fmla="*/ 262433 h 1585626"/>
                            <a:gd name="connsiteX8" fmla="*/ 1260 w 934516"/>
                            <a:gd name="connsiteY8" fmla="*/ 333995 h 1585626"/>
                            <a:gd name="connsiteX9" fmla="*/ 25114 w 934516"/>
                            <a:gd name="connsiteY9" fmla="*/ 500972 h 1585626"/>
                            <a:gd name="connsiteX10" fmla="*/ 56920 w 934516"/>
                            <a:gd name="connsiteY10" fmla="*/ 652047 h 1585626"/>
                            <a:gd name="connsiteX11" fmla="*/ 255702 w 934516"/>
                            <a:gd name="connsiteY11" fmla="*/ 842878 h 1585626"/>
                            <a:gd name="connsiteX12" fmla="*/ 430631 w 934516"/>
                            <a:gd name="connsiteY12" fmla="*/ 1304054 h 1585626"/>
                            <a:gd name="connsiteX13" fmla="*/ 518095 w 934516"/>
                            <a:gd name="connsiteY13" fmla="*/ 1447177 h 1585626"/>
                            <a:gd name="connsiteX14" fmla="*/ 557852 w 934516"/>
                            <a:gd name="connsiteY14" fmla="*/ 1582350 h 1585626"/>
                            <a:gd name="connsiteX15" fmla="*/ 549900 w 934516"/>
                            <a:gd name="connsiteY15" fmla="*/ 1304054 h 1585626"/>
                            <a:gd name="connsiteX16" fmla="*/ 589657 w 934516"/>
                            <a:gd name="connsiteY16" fmla="*/ 1057563 h 1585626"/>
                            <a:gd name="connsiteX17" fmla="*/ 669170 w 934516"/>
                            <a:gd name="connsiteY17" fmla="*/ 779268 h 1585626"/>
                            <a:gd name="connsiteX18" fmla="*/ 867953 w 934516"/>
                            <a:gd name="connsiteY18" fmla="*/ 604339 h 1585626"/>
                            <a:gd name="connsiteX19" fmla="*/ 931563 w 934516"/>
                            <a:gd name="connsiteY19" fmla="*/ 564583 h 1585626"/>
                            <a:gd name="connsiteX20" fmla="*/ 788440 w 934516"/>
                            <a:gd name="connsiteY20" fmla="*/ 310141 h 1585626"/>
                            <a:gd name="connsiteX0" fmla="*/ 828196 w 934516"/>
                            <a:gd name="connsiteY0" fmla="*/ 381703 h 1587580"/>
                            <a:gd name="connsiteX1" fmla="*/ 732780 w 934516"/>
                            <a:gd name="connsiteY1" fmla="*/ 198823 h 1587580"/>
                            <a:gd name="connsiteX2" fmla="*/ 708926 w 934516"/>
                            <a:gd name="connsiteY2" fmla="*/ 63650 h 1587580"/>
                            <a:gd name="connsiteX3" fmla="*/ 677121 w 934516"/>
                            <a:gd name="connsiteY3" fmla="*/ 40 h 1587580"/>
                            <a:gd name="connsiteX4" fmla="*/ 518095 w 934516"/>
                            <a:gd name="connsiteY4" fmla="*/ 71602 h 1587580"/>
                            <a:gd name="connsiteX5" fmla="*/ 335215 w 934516"/>
                            <a:gd name="connsiteY5" fmla="*/ 143163 h 1587580"/>
                            <a:gd name="connsiteX6" fmla="*/ 96676 w 934516"/>
                            <a:gd name="connsiteY6" fmla="*/ 222676 h 1587580"/>
                            <a:gd name="connsiteX7" fmla="*/ 64871 w 934516"/>
                            <a:gd name="connsiteY7" fmla="*/ 262433 h 1587580"/>
                            <a:gd name="connsiteX8" fmla="*/ 1260 w 934516"/>
                            <a:gd name="connsiteY8" fmla="*/ 333995 h 1587580"/>
                            <a:gd name="connsiteX9" fmla="*/ 25114 w 934516"/>
                            <a:gd name="connsiteY9" fmla="*/ 500972 h 1587580"/>
                            <a:gd name="connsiteX10" fmla="*/ 56920 w 934516"/>
                            <a:gd name="connsiteY10" fmla="*/ 652047 h 1587580"/>
                            <a:gd name="connsiteX11" fmla="*/ 255702 w 934516"/>
                            <a:gd name="connsiteY11" fmla="*/ 842878 h 1587580"/>
                            <a:gd name="connsiteX12" fmla="*/ 430631 w 934516"/>
                            <a:gd name="connsiteY12" fmla="*/ 1304054 h 1587580"/>
                            <a:gd name="connsiteX13" fmla="*/ 503254 w 934516"/>
                            <a:gd name="connsiteY13" fmla="*/ 1472327 h 1587580"/>
                            <a:gd name="connsiteX14" fmla="*/ 557852 w 934516"/>
                            <a:gd name="connsiteY14" fmla="*/ 1582350 h 1587580"/>
                            <a:gd name="connsiteX15" fmla="*/ 549900 w 934516"/>
                            <a:gd name="connsiteY15" fmla="*/ 1304054 h 1587580"/>
                            <a:gd name="connsiteX16" fmla="*/ 589657 w 934516"/>
                            <a:gd name="connsiteY16" fmla="*/ 1057563 h 1587580"/>
                            <a:gd name="connsiteX17" fmla="*/ 669170 w 934516"/>
                            <a:gd name="connsiteY17" fmla="*/ 779268 h 1587580"/>
                            <a:gd name="connsiteX18" fmla="*/ 867953 w 934516"/>
                            <a:gd name="connsiteY18" fmla="*/ 604339 h 1587580"/>
                            <a:gd name="connsiteX19" fmla="*/ 931563 w 934516"/>
                            <a:gd name="connsiteY19" fmla="*/ 564583 h 1587580"/>
                            <a:gd name="connsiteX20" fmla="*/ 788440 w 934516"/>
                            <a:gd name="connsiteY20" fmla="*/ 310141 h 1587580"/>
                            <a:gd name="connsiteX0" fmla="*/ 828196 w 907696"/>
                            <a:gd name="connsiteY0" fmla="*/ 381703 h 1587580"/>
                            <a:gd name="connsiteX1" fmla="*/ 732780 w 907696"/>
                            <a:gd name="connsiteY1" fmla="*/ 198823 h 1587580"/>
                            <a:gd name="connsiteX2" fmla="*/ 708926 w 907696"/>
                            <a:gd name="connsiteY2" fmla="*/ 63650 h 1587580"/>
                            <a:gd name="connsiteX3" fmla="*/ 677121 w 907696"/>
                            <a:gd name="connsiteY3" fmla="*/ 40 h 1587580"/>
                            <a:gd name="connsiteX4" fmla="*/ 518095 w 907696"/>
                            <a:gd name="connsiteY4" fmla="*/ 71602 h 1587580"/>
                            <a:gd name="connsiteX5" fmla="*/ 335215 w 907696"/>
                            <a:gd name="connsiteY5" fmla="*/ 143163 h 1587580"/>
                            <a:gd name="connsiteX6" fmla="*/ 96676 w 907696"/>
                            <a:gd name="connsiteY6" fmla="*/ 222676 h 1587580"/>
                            <a:gd name="connsiteX7" fmla="*/ 64871 w 907696"/>
                            <a:gd name="connsiteY7" fmla="*/ 262433 h 1587580"/>
                            <a:gd name="connsiteX8" fmla="*/ 1260 w 907696"/>
                            <a:gd name="connsiteY8" fmla="*/ 333995 h 1587580"/>
                            <a:gd name="connsiteX9" fmla="*/ 25114 w 907696"/>
                            <a:gd name="connsiteY9" fmla="*/ 500972 h 1587580"/>
                            <a:gd name="connsiteX10" fmla="*/ 56920 w 907696"/>
                            <a:gd name="connsiteY10" fmla="*/ 652047 h 1587580"/>
                            <a:gd name="connsiteX11" fmla="*/ 255702 w 907696"/>
                            <a:gd name="connsiteY11" fmla="*/ 842878 h 1587580"/>
                            <a:gd name="connsiteX12" fmla="*/ 430631 w 907696"/>
                            <a:gd name="connsiteY12" fmla="*/ 1304054 h 1587580"/>
                            <a:gd name="connsiteX13" fmla="*/ 503254 w 907696"/>
                            <a:gd name="connsiteY13" fmla="*/ 1472327 h 1587580"/>
                            <a:gd name="connsiteX14" fmla="*/ 557852 w 907696"/>
                            <a:gd name="connsiteY14" fmla="*/ 1582350 h 1587580"/>
                            <a:gd name="connsiteX15" fmla="*/ 549900 w 907696"/>
                            <a:gd name="connsiteY15" fmla="*/ 1304054 h 1587580"/>
                            <a:gd name="connsiteX16" fmla="*/ 589657 w 907696"/>
                            <a:gd name="connsiteY16" fmla="*/ 1057563 h 1587580"/>
                            <a:gd name="connsiteX17" fmla="*/ 669170 w 907696"/>
                            <a:gd name="connsiteY17" fmla="*/ 779268 h 1587580"/>
                            <a:gd name="connsiteX18" fmla="*/ 867953 w 907696"/>
                            <a:gd name="connsiteY18" fmla="*/ 604339 h 1587580"/>
                            <a:gd name="connsiteX19" fmla="*/ 901834 w 907696"/>
                            <a:gd name="connsiteY19" fmla="*/ 524415 h 1587580"/>
                            <a:gd name="connsiteX20" fmla="*/ 788440 w 907696"/>
                            <a:gd name="connsiteY20" fmla="*/ 310141 h 1587580"/>
                            <a:gd name="connsiteX0" fmla="*/ 828196 w 907696"/>
                            <a:gd name="connsiteY0" fmla="*/ 381702 h 1587579"/>
                            <a:gd name="connsiteX1" fmla="*/ 763161 w 907696"/>
                            <a:gd name="connsiteY1" fmla="*/ 188783 h 1587579"/>
                            <a:gd name="connsiteX2" fmla="*/ 708926 w 907696"/>
                            <a:gd name="connsiteY2" fmla="*/ 63649 h 1587579"/>
                            <a:gd name="connsiteX3" fmla="*/ 677121 w 907696"/>
                            <a:gd name="connsiteY3" fmla="*/ 39 h 1587579"/>
                            <a:gd name="connsiteX4" fmla="*/ 518095 w 907696"/>
                            <a:gd name="connsiteY4" fmla="*/ 71601 h 1587579"/>
                            <a:gd name="connsiteX5" fmla="*/ 335215 w 907696"/>
                            <a:gd name="connsiteY5" fmla="*/ 143162 h 1587579"/>
                            <a:gd name="connsiteX6" fmla="*/ 96676 w 907696"/>
                            <a:gd name="connsiteY6" fmla="*/ 222675 h 1587579"/>
                            <a:gd name="connsiteX7" fmla="*/ 64871 w 907696"/>
                            <a:gd name="connsiteY7" fmla="*/ 262432 h 1587579"/>
                            <a:gd name="connsiteX8" fmla="*/ 1260 w 907696"/>
                            <a:gd name="connsiteY8" fmla="*/ 333994 h 1587579"/>
                            <a:gd name="connsiteX9" fmla="*/ 25114 w 907696"/>
                            <a:gd name="connsiteY9" fmla="*/ 500971 h 1587579"/>
                            <a:gd name="connsiteX10" fmla="*/ 56920 w 907696"/>
                            <a:gd name="connsiteY10" fmla="*/ 652046 h 1587579"/>
                            <a:gd name="connsiteX11" fmla="*/ 255702 w 907696"/>
                            <a:gd name="connsiteY11" fmla="*/ 842877 h 1587579"/>
                            <a:gd name="connsiteX12" fmla="*/ 430631 w 907696"/>
                            <a:gd name="connsiteY12" fmla="*/ 1304053 h 1587579"/>
                            <a:gd name="connsiteX13" fmla="*/ 503254 w 907696"/>
                            <a:gd name="connsiteY13" fmla="*/ 1472326 h 1587579"/>
                            <a:gd name="connsiteX14" fmla="*/ 557852 w 907696"/>
                            <a:gd name="connsiteY14" fmla="*/ 1582349 h 1587579"/>
                            <a:gd name="connsiteX15" fmla="*/ 549900 w 907696"/>
                            <a:gd name="connsiteY15" fmla="*/ 1304053 h 1587579"/>
                            <a:gd name="connsiteX16" fmla="*/ 589657 w 907696"/>
                            <a:gd name="connsiteY16" fmla="*/ 1057562 h 1587579"/>
                            <a:gd name="connsiteX17" fmla="*/ 669170 w 907696"/>
                            <a:gd name="connsiteY17" fmla="*/ 779267 h 1587579"/>
                            <a:gd name="connsiteX18" fmla="*/ 867953 w 907696"/>
                            <a:gd name="connsiteY18" fmla="*/ 604338 h 1587579"/>
                            <a:gd name="connsiteX19" fmla="*/ 901834 w 907696"/>
                            <a:gd name="connsiteY19" fmla="*/ 524414 h 1587579"/>
                            <a:gd name="connsiteX20" fmla="*/ 788440 w 907696"/>
                            <a:gd name="connsiteY20" fmla="*/ 310140 h 158757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Lst>
                          <a:rect l="l" t="t" r="r" b="b"/>
                          <a:pathLst>
                            <a:path w="907696" h="1587579">
                              <a:moveTo>
                                <a:pt x="828196" y="381702"/>
                              </a:moveTo>
                              <a:cubicBezTo>
                                <a:pt x="790427" y="316766"/>
                                <a:pt x="783039" y="241792"/>
                                <a:pt x="763161" y="188783"/>
                              </a:cubicBezTo>
                              <a:cubicBezTo>
                                <a:pt x="743283" y="135774"/>
                                <a:pt x="723266" y="95106"/>
                                <a:pt x="708926" y="63649"/>
                              </a:cubicBezTo>
                              <a:cubicBezTo>
                                <a:pt x="694586" y="32192"/>
                                <a:pt x="708926" y="-1286"/>
                                <a:pt x="677121" y="39"/>
                              </a:cubicBezTo>
                              <a:cubicBezTo>
                                <a:pt x="645316" y="1364"/>
                                <a:pt x="575079" y="47747"/>
                                <a:pt x="518095" y="71601"/>
                              </a:cubicBezTo>
                              <a:cubicBezTo>
                                <a:pt x="461111" y="95455"/>
                                <a:pt x="405451" y="117983"/>
                                <a:pt x="335215" y="143162"/>
                              </a:cubicBezTo>
                              <a:cubicBezTo>
                                <a:pt x="264979" y="168341"/>
                                <a:pt x="141733" y="202797"/>
                                <a:pt x="96676" y="222675"/>
                              </a:cubicBezTo>
                              <a:cubicBezTo>
                                <a:pt x="51619" y="242553"/>
                                <a:pt x="80774" y="243879"/>
                                <a:pt x="64871" y="262432"/>
                              </a:cubicBezTo>
                              <a:cubicBezTo>
                                <a:pt x="48968" y="280985"/>
                                <a:pt x="7886" y="294237"/>
                                <a:pt x="1260" y="333994"/>
                              </a:cubicBezTo>
                              <a:cubicBezTo>
                                <a:pt x="-5366" y="373750"/>
                                <a:pt x="15837" y="447962"/>
                                <a:pt x="25114" y="500971"/>
                              </a:cubicBezTo>
                              <a:cubicBezTo>
                                <a:pt x="34391" y="553980"/>
                                <a:pt x="18489" y="595062"/>
                                <a:pt x="56920" y="652046"/>
                              </a:cubicBezTo>
                              <a:cubicBezTo>
                                <a:pt x="95351" y="709030"/>
                                <a:pt x="193417" y="734209"/>
                                <a:pt x="255702" y="842877"/>
                              </a:cubicBezTo>
                              <a:cubicBezTo>
                                <a:pt x="317987" y="951545"/>
                                <a:pt x="389372" y="1199145"/>
                                <a:pt x="430631" y="1304053"/>
                              </a:cubicBezTo>
                              <a:cubicBezTo>
                                <a:pt x="471890" y="1408961"/>
                                <a:pt x="482051" y="1425943"/>
                                <a:pt x="503254" y="1472326"/>
                              </a:cubicBezTo>
                              <a:cubicBezTo>
                                <a:pt x="524457" y="1518709"/>
                                <a:pt x="550078" y="1610394"/>
                                <a:pt x="557852" y="1582349"/>
                              </a:cubicBezTo>
                              <a:cubicBezTo>
                                <a:pt x="565626" y="1554304"/>
                                <a:pt x="544599" y="1391518"/>
                                <a:pt x="549900" y="1304053"/>
                              </a:cubicBezTo>
                              <a:cubicBezTo>
                                <a:pt x="555201" y="1216588"/>
                                <a:pt x="569779" y="1145026"/>
                                <a:pt x="589657" y="1057562"/>
                              </a:cubicBezTo>
                              <a:cubicBezTo>
                                <a:pt x="609535" y="970098"/>
                                <a:pt x="622787" y="854804"/>
                                <a:pt x="669170" y="779267"/>
                              </a:cubicBezTo>
                              <a:cubicBezTo>
                                <a:pt x="715553" y="703730"/>
                                <a:pt x="829176" y="646813"/>
                                <a:pt x="867953" y="604338"/>
                              </a:cubicBezTo>
                              <a:cubicBezTo>
                                <a:pt x="906730" y="561863"/>
                                <a:pt x="915086" y="573447"/>
                                <a:pt x="901834" y="524414"/>
                              </a:cubicBezTo>
                              <a:cubicBezTo>
                                <a:pt x="888582" y="475381"/>
                                <a:pt x="853375" y="412844"/>
                                <a:pt x="788440" y="310140"/>
                              </a:cubicBezTo>
                            </a:path>
                          </a:pathLst>
                        </a:cu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id="Forme libre 243" o:spid="_x0000_s1026" style="position:absolute;margin-left:114.6pt;margin-top:33.25pt;width:71.45pt;height:125pt;z-index:2518046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907696,1587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" path="m828196,381702c790427,316766,783039,241792,763161,188783,743283,135774,723266,95106,708926,63649,694586,32192,708926,-1286,677121,39,645316,1364,575079,47747,518095,71601,461111,95455,405451,117983,335215,143162,264979,168341,141733,202797,96676,222675,51619,242553,80774,243879,64871,262432,48968,280985,7886,294237,1260,333994v-6626,39756,14577,113968,23854,166977c34391,553980,18489,595062,56920,652046v38431,56984,136497,82163,198782,190831c317987,951545,389372,1199145,430631,1304053v41259,104908,51420,121890,72623,168273c524457,1518709,550078,1610394,557852,1582349v7774,-28045,-13253,-190831,-7952,-278296c555201,1216588,569779,1145026,589657,1057562v19878,-87464,33130,-202758,79513,-278295c715553,703730,829176,646813,867953,604338v38777,-42475,47133,-30891,33881,-79924c888582,475381,853375,412844,788440,310140e" filled="f" strokecolor="black [3213]" strokeweight="2pt">
                <v:path arrowok="t" o:connecttype="custom" o:connectlocs="828196,381702;763161,188783;708926,63649;677121,39;518095,71601;335215,143162;96676,222675;64871,262432;1260,333994;25114,500971;56920,652046;255702,842877;430631,1304053;503254,1472326;557852,1582349;549900,1304053;589657,1057562;669170,779267;867953,604338;901834,524414;788440,310140" o:connectangles="0,0,0,0,0,0,0,0,0,0,0,0,0,0,0,0,0,0,0,0,0"/>
              </v:shape>
            </w:pict>
          </mc:Fallback>
        </mc:AlternateContent>
      </w:r>
      <w:r>
        <w:rPr>
          <w:noProof/>
        </w:rPr>
        <w:t xml:space="preserve"> </w:t>
      </w:r>
      <w:r>
        <w:rPr>
          <w:noProof/>
        </w:rPr>
        <w:drawing>
          <wp:inline distT="0" distB="0" distL="0" distR="0">
            <wp:extent cx="6016364" cy="4961614"/>
            <wp:effectExtent l="19050" t="19050" r="22860" b="10795"/>
            <wp:docPr id="241" name="Imag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019055" cy="4963833"/>
                    </a:xfrm>
                    <a:prstGeom prst="rect">
                      <a:avLst/>
                    </a:prstGeom>
                    <a:ln>
                      <a:solidFill>
                        <a:schemeClr val="tx1"/>
                      </a:solidFill>
                    </a:ln>
                  </pic:spPr>
                </pic:pic>
              </a:graphicData>
            </a:graphic>
          </wp:inline>
        </w:drawing>
      </w:r>
    </w:p>
    <w:p>
      <w:pPr>
        <w:pStyle w:val="Lgende"/>
        <w:jc w:val="left"/>
        <w:rPr>
          <w:szCs w:val="20"/>
        </w:rPr>
      </w:pPr>
      <w:r>
        <w:rPr>
          <w:szCs w:val="20"/>
        </w:rPr>
        <w:t xml:space="preserve">Création du réseau d’assainissement secteur </w:t>
      </w:r>
      <w:r>
        <w:t xml:space="preserve">les </w:t>
      </w:r>
      <w:proofErr w:type="spellStart"/>
      <w:r>
        <w:t>Dardalounes</w:t>
      </w:r>
      <w:proofErr w:type="spellEnd"/>
      <w:r>
        <w:t xml:space="preserve"> – scénario 2</w:t>
      </w:r>
    </w:p>
    <w:p>
      <w:pPr>
        <w:spacing w:before="0"/>
        <w:jc w:val="left"/>
        <w:rPr>
          <w:rFonts w:cs="Arial"/>
        </w:rPr>
      </w:pPr>
      <w:r>
        <w:br w:type="page"/>
      </w:r>
    </w:p>
    <w:p>
      <w:pPr>
        <w:pStyle w:val="Retrait20"/>
      </w:pPr>
      <w:r>
        <w:lastRenderedPageBreak/>
        <w:t>Eléments de comparaison des scénarios</w:t>
      </w:r>
    </w:p>
    <w:tbl>
      <w:tblPr>
        <w:tblW w:w="9649" w:type="dxa"/>
        <w:tblInd w:w="60" w:type="dxa"/>
        <w:tblBorders>
          <w:top w:val="single" w:sz="4" w:space="0" w:color="auto"/>
          <w:left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216"/>
        <w:gridCol w:w="3216"/>
        <w:gridCol w:w="3217"/>
      </w:tblGrid>
      <w:tr>
        <w:trPr>
          <w:trHeight w:val="288"/>
        </w:trPr>
        <w:tc>
          <w:tcPr>
            <w:tcW w:w="3216" w:type="dxa"/>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hideMark/>
          </w:tcPr>
          <w:p>
            <w:pPr>
              <w:spacing w:before="60" w:after="60"/>
              <w:jc w:val="center"/>
              <w:rPr>
                <w:rFonts w:cs="Calibri"/>
                <w:b/>
                <w:bCs/>
                <w:color w:val="FFFFFF"/>
              </w:rPr>
            </w:pPr>
          </w:p>
        </w:tc>
        <w:tc>
          <w:tcPr>
            <w:tcW w:w="3216" w:type="dxa"/>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hideMark/>
          </w:tcPr>
          <w:p>
            <w:pPr>
              <w:spacing w:before="60" w:after="60"/>
              <w:jc w:val="center"/>
              <w:rPr>
                <w:rFonts w:cs="Calibri"/>
                <w:b/>
                <w:bCs/>
                <w:color w:val="FFFFFF"/>
              </w:rPr>
            </w:pPr>
            <w:r>
              <w:rPr>
                <w:rFonts w:cs="Calibri"/>
                <w:b/>
                <w:bCs/>
                <w:color w:val="FFFFFF"/>
              </w:rPr>
              <w:t>Scénario 1 (raccordement sur le réseau du village situé au Nord)</w:t>
            </w:r>
          </w:p>
        </w:tc>
        <w:tc>
          <w:tcPr>
            <w:tcW w:w="3217" w:type="dxa"/>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hideMark/>
          </w:tcPr>
          <w:p>
            <w:pPr>
              <w:spacing w:before="60" w:after="60"/>
              <w:jc w:val="center"/>
              <w:rPr>
                <w:rFonts w:cs="Calibri"/>
                <w:b/>
                <w:bCs/>
                <w:color w:val="FFFFFF"/>
              </w:rPr>
            </w:pPr>
            <w:r>
              <w:rPr>
                <w:rFonts w:cs="Calibri"/>
                <w:b/>
                <w:bCs/>
                <w:color w:val="FFFFFF"/>
              </w:rPr>
              <w:t>Scénario 2 (raccordement sur le réseau de Mitra au Sud)</w:t>
            </w:r>
          </w:p>
        </w:tc>
      </w:tr>
      <w:tr>
        <w:trPr>
          <w:trHeight w:val="60"/>
        </w:trPr>
        <w:tc>
          <w:tcPr>
            <w:tcW w:w="3216" w:type="dxa"/>
            <w:tcBorders>
              <w:top w:val="single" w:sz="4" w:space="0" w:color="auto"/>
              <w:left w:val="single" w:sz="4" w:space="0" w:color="auto"/>
              <w:bottom w:val="single" w:sz="4" w:space="0" w:color="auto"/>
              <w:right w:val="single" w:sz="4" w:space="0" w:color="auto"/>
            </w:tcBorders>
            <w:vAlign w:val="center"/>
            <w:hideMark/>
          </w:tcPr>
          <w:p>
            <w:pPr>
              <w:spacing w:before="0"/>
              <w:jc w:val="center"/>
              <w:rPr>
                <w:color w:val="000000"/>
              </w:rPr>
            </w:pPr>
            <w:r>
              <w:rPr>
                <w:color w:val="000000"/>
              </w:rPr>
              <w:t>Estimation du cout d'investissement</w:t>
            </w:r>
          </w:p>
        </w:tc>
        <w:tc>
          <w:tcPr>
            <w:tcW w:w="3216" w:type="dxa"/>
            <w:tcBorders>
              <w:top w:val="single" w:sz="4" w:space="0" w:color="auto"/>
              <w:left w:val="single" w:sz="4" w:space="0" w:color="auto"/>
              <w:bottom w:val="single" w:sz="4" w:space="0" w:color="auto"/>
              <w:right w:val="single" w:sz="4" w:space="0" w:color="auto"/>
            </w:tcBorders>
            <w:vAlign w:val="center"/>
            <w:hideMark/>
          </w:tcPr>
          <w:p>
            <w:pPr>
              <w:spacing w:before="0"/>
              <w:jc w:val="center"/>
              <w:rPr>
                <w:color w:val="000000"/>
                <w:highlight w:val="yellow"/>
              </w:rPr>
            </w:pPr>
            <w:r>
              <w:rPr>
                <w:color w:val="000000"/>
              </w:rPr>
              <w:t>140 000€HT</w:t>
            </w:r>
          </w:p>
        </w:tc>
        <w:tc>
          <w:tcPr>
            <w:tcW w:w="3217" w:type="dxa"/>
            <w:tcBorders>
              <w:top w:val="single" w:sz="4" w:space="0" w:color="auto"/>
              <w:left w:val="single" w:sz="4" w:space="0" w:color="auto"/>
              <w:bottom w:val="single" w:sz="4" w:space="0" w:color="auto"/>
              <w:right w:val="single" w:sz="4" w:space="0" w:color="auto"/>
            </w:tcBorders>
            <w:vAlign w:val="center"/>
            <w:hideMark/>
          </w:tcPr>
          <w:p>
            <w:pPr>
              <w:spacing w:before="0"/>
              <w:jc w:val="center"/>
              <w:rPr>
                <w:color w:val="000000"/>
                <w:highlight w:val="yellow"/>
              </w:rPr>
            </w:pPr>
            <w:r>
              <w:rPr>
                <w:color w:val="000000"/>
              </w:rPr>
              <w:t>285 0000€HT</w:t>
            </w:r>
          </w:p>
        </w:tc>
      </w:tr>
      <w:tr>
        <w:trPr>
          <w:trHeight w:val="60"/>
        </w:trPr>
        <w:tc>
          <w:tcPr>
            <w:tcW w:w="3216" w:type="dxa"/>
            <w:tcBorders>
              <w:top w:val="single" w:sz="4" w:space="0" w:color="auto"/>
              <w:left w:val="single" w:sz="4" w:space="0" w:color="auto"/>
              <w:bottom w:val="single" w:sz="4" w:space="0" w:color="auto"/>
              <w:right w:val="single" w:sz="4" w:space="0" w:color="auto"/>
            </w:tcBorders>
            <w:vAlign w:val="center"/>
            <w:hideMark/>
          </w:tcPr>
          <w:p>
            <w:pPr>
              <w:spacing w:before="0"/>
              <w:jc w:val="center"/>
              <w:rPr>
                <w:color w:val="000000"/>
              </w:rPr>
            </w:pPr>
            <w:r>
              <w:rPr>
                <w:color w:val="000000"/>
              </w:rPr>
              <w:t>Estimation du cout d'exploitation annuel</w:t>
            </w:r>
          </w:p>
        </w:tc>
        <w:tc>
          <w:tcPr>
            <w:tcW w:w="3216" w:type="dxa"/>
            <w:tcBorders>
              <w:top w:val="single" w:sz="4" w:space="0" w:color="auto"/>
              <w:left w:val="single" w:sz="4" w:space="0" w:color="auto"/>
              <w:bottom w:val="single" w:sz="4" w:space="0" w:color="auto"/>
              <w:right w:val="single" w:sz="4" w:space="0" w:color="auto"/>
            </w:tcBorders>
            <w:vAlign w:val="center"/>
            <w:hideMark/>
          </w:tcPr>
          <w:p>
            <w:pPr>
              <w:spacing w:before="0"/>
              <w:jc w:val="center"/>
              <w:rPr>
                <w:color w:val="000000"/>
                <w:highlight w:val="yellow"/>
              </w:rPr>
            </w:pPr>
            <w:r>
              <w:rPr>
                <w:color w:val="000000"/>
              </w:rPr>
              <w:t>5 000€</w:t>
            </w:r>
          </w:p>
        </w:tc>
        <w:tc>
          <w:tcPr>
            <w:tcW w:w="3217" w:type="dxa"/>
            <w:tcBorders>
              <w:top w:val="single" w:sz="4" w:space="0" w:color="auto"/>
              <w:left w:val="single" w:sz="4" w:space="0" w:color="auto"/>
              <w:bottom w:val="single" w:sz="4" w:space="0" w:color="auto"/>
              <w:right w:val="single" w:sz="4" w:space="0" w:color="auto"/>
            </w:tcBorders>
            <w:vAlign w:val="center"/>
            <w:hideMark/>
          </w:tcPr>
          <w:p>
            <w:pPr>
              <w:spacing w:before="0"/>
              <w:jc w:val="center"/>
              <w:rPr>
                <w:color w:val="000000"/>
              </w:rPr>
            </w:pPr>
          </w:p>
        </w:tc>
      </w:tr>
      <w:tr>
        <w:trPr>
          <w:trHeight w:val="60"/>
        </w:trPr>
        <w:tc>
          <w:tcPr>
            <w:tcW w:w="3216" w:type="dxa"/>
            <w:tcBorders>
              <w:top w:val="single" w:sz="4" w:space="0" w:color="auto"/>
              <w:left w:val="single" w:sz="4" w:space="0" w:color="auto"/>
              <w:bottom w:val="single" w:sz="4" w:space="0" w:color="auto"/>
              <w:right w:val="single" w:sz="4" w:space="0" w:color="auto"/>
            </w:tcBorders>
            <w:vAlign w:val="center"/>
            <w:hideMark/>
          </w:tcPr>
          <w:p>
            <w:pPr>
              <w:spacing w:before="0"/>
              <w:jc w:val="center"/>
              <w:rPr>
                <w:color w:val="000000"/>
              </w:rPr>
            </w:pPr>
            <w:r>
              <w:rPr>
                <w:color w:val="000000"/>
              </w:rPr>
              <w:t>Nombre d'habitations collectées</w:t>
            </w:r>
          </w:p>
        </w:tc>
        <w:tc>
          <w:tcPr>
            <w:tcW w:w="3216" w:type="dxa"/>
            <w:tcBorders>
              <w:top w:val="single" w:sz="4" w:space="0" w:color="auto"/>
              <w:left w:val="single" w:sz="4" w:space="0" w:color="auto"/>
              <w:bottom w:val="single" w:sz="4" w:space="0" w:color="auto"/>
              <w:right w:val="single" w:sz="4" w:space="0" w:color="auto"/>
            </w:tcBorders>
            <w:vAlign w:val="center"/>
            <w:hideMark/>
          </w:tcPr>
          <w:p>
            <w:pPr>
              <w:spacing w:before="0"/>
              <w:jc w:val="center"/>
              <w:rPr>
                <w:color w:val="000000"/>
              </w:rPr>
            </w:pPr>
            <w:r>
              <w:rPr>
                <w:color w:val="000000"/>
                <w:lang w:eastAsia="zh-CN"/>
              </w:rPr>
              <w:t>2 habitations et 2 entreprises</w:t>
            </w:r>
          </w:p>
        </w:tc>
        <w:tc>
          <w:tcPr>
            <w:tcW w:w="3217" w:type="dxa"/>
            <w:tcBorders>
              <w:top w:val="single" w:sz="4" w:space="0" w:color="auto"/>
              <w:left w:val="single" w:sz="4" w:space="0" w:color="auto"/>
              <w:bottom w:val="single" w:sz="4" w:space="0" w:color="auto"/>
              <w:right w:val="single" w:sz="4" w:space="0" w:color="auto"/>
            </w:tcBorders>
            <w:vAlign w:val="center"/>
            <w:hideMark/>
          </w:tcPr>
          <w:p>
            <w:pPr>
              <w:spacing w:before="0"/>
              <w:jc w:val="center"/>
              <w:rPr>
                <w:color w:val="000000"/>
              </w:rPr>
            </w:pPr>
            <w:r>
              <w:rPr>
                <w:color w:val="000000"/>
                <w:lang w:eastAsia="zh-CN"/>
              </w:rPr>
              <w:t>2 habitations et 2 entreprises</w:t>
            </w:r>
          </w:p>
        </w:tc>
      </w:tr>
      <w:tr>
        <w:trPr>
          <w:trHeight w:val="576"/>
        </w:trPr>
        <w:tc>
          <w:tcPr>
            <w:tcW w:w="3216" w:type="dxa"/>
            <w:tcBorders>
              <w:top w:val="single" w:sz="4" w:space="0" w:color="auto"/>
              <w:left w:val="single" w:sz="4" w:space="0" w:color="auto"/>
              <w:bottom w:val="single" w:sz="4" w:space="0" w:color="auto"/>
              <w:right w:val="single" w:sz="4" w:space="0" w:color="auto"/>
            </w:tcBorders>
            <w:vAlign w:val="center"/>
          </w:tcPr>
          <w:p>
            <w:pPr>
              <w:spacing w:before="0"/>
              <w:jc w:val="center"/>
              <w:rPr>
                <w:color w:val="000000"/>
              </w:rPr>
            </w:pPr>
            <w:r>
              <w:rPr>
                <w:color w:val="000000"/>
              </w:rPr>
              <w:t>Zonage PLU</w:t>
            </w:r>
          </w:p>
        </w:tc>
        <w:tc>
          <w:tcPr>
            <w:tcW w:w="3216" w:type="dxa"/>
            <w:tcBorders>
              <w:top w:val="single" w:sz="4" w:space="0" w:color="auto"/>
              <w:left w:val="single" w:sz="4" w:space="0" w:color="auto"/>
              <w:bottom w:val="single" w:sz="4" w:space="0" w:color="auto"/>
              <w:right w:val="single" w:sz="4" w:space="0" w:color="auto"/>
            </w:tcBorders>
            <w:vAlign w:val="center"/>
          </w:tcPr>
          <w:p>
            <w:pPr>
              <w:spacing w:before="0"/>
              <w:jc w:val="center"/>
              <w:rPr>
                <w:color w:val="000000"/>
                <w:lang w:eastAsia="zh-CN"/>
              </w:rPr>
            </w:pPr>
            <w:r>
              <w:rPr>
                <w:color w:val="000000"/>
                <w:lang w:eastAsia="zh-CN"/>
              </w:rPr>
              <w:t>Toute la zone UE sera raccordée</w:t>
            </w:r>
          </w:p>
        </w:tc>
        <w:tc>
          <w:tcPr>
            <w:tcW w:w="3217" w:type="dxa"/>
            <w:tcBorders>
              <w:top w:val="single" w:sz="4" w:space="0" w:color="auto"/>
              <w:left w:val="single" w:sz="4" w:space="0" w:color="auto"/>
              <w:bottom w:val="single" w:sz="4" w:space="0" w:color="auto"/>
              <w:right w:val="single" w:sz="4" w:space="0" w:color="auto"/>
            </w:tcBorders>
            <w:vAlign w:val="center"/>
          </w:tcPr>
          <w:p>
            <w:pPr>
              <w:spacing w:before="0"/>
              <w:jc w:val="center"/>
              <w:rPr>
                <w:color w:val="000000"/>
                <w:lang w:eastAsia="zh-CN"/>
              </w:rPr>
            </w:pPr>
            <w:r>
              <w:rPr>
                <w:color w:val="000000"/>
                <w:lang w:eastAsia="zh-CN"/>
              </w:rPr>
              <w:t>Toute la zone UE sera raccordée ainsi que la zone actuellement agricole située entre la zone UE et Mitra (zone potentiellement urbanisée à moyen ou long terme)</w:t>
            </w:r>
          </w:p>
        </w:tc>
      </w:tr>
      <w:tr>
        <w:trPr>
          <w:trHeight w:val="402"/>
        </w:trPr>
        <w:tc>
          <w:tcPr>
            <w:tcW w:w="3216" w:type="dxa"/>
            <w:tcBorders>
              <w:top w:val="single" w:sz="4" w:space="0" w:color="auto"/>
              <w:left w:val="single" w:sz="4" w:space="0" w:color="auto"/>
              <w:bottom w:val="single" w:sz="4" w:space="0" w:color="auto"/>
              <w:right w:val="single" w:sz="4" w:space="0" w:color="auto"/>
            </w:tcBorders>
            <w:vAlign w:val="center"/>
            <w:hideMark/>
          </w:tcPr>
          <w:p>
            <w:pPr>
              <w:spacing w:before="0"/>
              <w:jc w:val="center"/>
              <w:rPr>
                <w:color w:val="000000"/>
              </w:rPr>
            </w:pPr>
            <w:r>
              <w:rPr>
                <w:color w:val="000000"/>
              </w:rPr>
              <w:t>Contraintes techniques</w:t>
            </w:r>
          </w:p>
        </w:tc>
        <w:tc>
          <w:tcPr>
            <w:tcW w:w="3216" w:type="dxa"/>
            <w:tcBorders>
              <w:top w:val="single" w:sz="4" w:space="0" w:color="auto"/>
              <w:left w:val="single" w:sz="4" w:space="0" w:color="auto"/>
              <w:bottom w:val="single" w:sz="4" w:space="0" w:color="auto"/>
              <w:right w:val="single" w:sz="4" w:space="0" w:color="auto"/>
            </w:tcBorders>
            <w:vAlign w:val="center"/>
            <w:hideMark/>
          </w:tcPr>
          <w:p>
            <w:pPr>
              <w:spacing w:before="0"/>
              <w:jc w:val="left"/>
              <w:rPr>
                <w:color w:val="000000"/>
              </w:rPr>
            </w:pPr>
            <w:r>
              <w:rPr>
                <w:color w:val="000000"/>
              </w:rPr>
              <w:t>Pente défavorable, obligation de mettre en place un poste de refoulement.</w:t>
            </w:r>
          </w:p>
        </w:tc>
        <w:tc>
          <w:tcPr>
            <w:tcW w:w="3217" w:type="dxa"/>
            <w:tcBorders>
              <w:top w:val="single" w:sz="4" w:space="0" w:color="auto"/>
              <w:left w:val="single" w:sz="4" w:space="0" w:color="auto"/>
              <w:bottom w:val="single" w:sz="4" w:space="0" w:color="auto"/>
              <w:right w:val="single" w:sz="4" w:space="0" w:color="auto"/>
            </w:tcBorders>
            <w:vAlign w:val="center"/>
            <w:hideMark/>
          </w:tcPr>
          <w:p>
            <w:pPr>
              <w:spacing w:before="0"/>
              <w:jc w:val="left"/>
              <w:rPr>
                <w:color w:val="000000"/>
              </w:rPr>
            </w:pPr>
          </w:p>
        </w:tc>
      </w:tr>
      <w:tr>
        <w:trPr>
          <w:trHeight w:val="60"/>
        </w:trPr>
        <w:tc>
          <w:tcPr>
            <w:tcW w:w="3216" w:type="dxa"/>
            <w:tcBorders>
              <w:top w:val="single" w:sz="4" w:space="0" w:color="auto"/>
              <w:left w:val="single" w:sz="4" w:space="0" w:color="auto"/>
              <w:bottom w:val="single" w:sz="4" w:space="0" w:color="auto"/>
              <w:right w:val="single" w:sz="4" w:space="0" w:color="auto"/>
            </w:tcBorders>
            <w:vAlign w:val="center"/>
            <w:hideMark/>
          </w:tcPr>
          <w:p>
            <w:pPr>
              <w:spacing w:before="0"/>
              <w:jc w:val="center"/>
              <w:rPr>
                <w:color w:val="000000"/>
              </w:rPr>
            </w:pPr>
            <w:r>
              <w:rPr>
                <w:color w:val="000000"/>
              </w:rPr>
              <w:t>Contraintes administratives</w:t>
            </w:r>
          </w:p>
        </w:tc>
        <w:tc>
          <w:tcPr>
            <w:tcW w:w="3216" w:type="dxa"/>
            <w:tcBorders>
              <w:top w:val="single" w:sz="4" w:space="0" w:color="auto"/>
              <w:left w:val="single" w:sz="4" w:space="0" w:color="auto"/>
              <w:bottom w:val="single" w:sz="4" w:space="0" w:color="auto"/>
              <w:right w:val="single" w:sz="4" w:space="0" w:color="auto"/>
            </w:tcBorders>
            <w:vAlign w:val="center"/>
            <w:hideMark/>
          </w:tcPr>
          <w:p>
            <w:pPr>
              <w:spacing w:before="0"/>
              <w:jc w:val="center"/>
              <w:rPr>
                <w:color w:val="000000"/>
              </w:rPr>
            </w:pPr>
            <w:r>
              <w:rPr>
                <w:color w:val="000000"/>
              </w:rPr>
              <w:t>Achat de terrain pour le site du poste de refoulement</w:t>
            </w:r>
          </w:p>
        </w:tc>
        <w:tc>
          <w:tcPr>
            <w:tcW w:w="3217" w:type="dxa"/>
            <w:tcBorders>
              <w:top w:val="single" w:sz="4" w:space="0" w:color="auto"/>
              <w:left w:val="single" w:sz="4" w:space="0" w:color="auto"/>
              <w:bottom w:val="single" w:sz="4" w:space="0" w:color="auto"/>
              <w:right w:val="single" w:sz="4" w:space="0" w:color="auto"/>
            </w:tcBorders>
            <w:vAlign w:val="center"/>
            <w:hideMark/>
          </w:tcPr>
          <w:p>
            <w:pPr>
              <w:spacing w:before="0"/>
              <w:rPr>
                <w:color w:val="000000"/>
              </w:rPr>
            </w:pPr>
          </w:p>
        </w:tc>
      </w:tr>
    </w:tbl>
    <w:p>
      <w:pPr>
        <w:pStyle w:val="Lgende"/>
      </w:pPr>
      <w:r>
        <w:t xml:space="preserve">Comparaison des scénarios de raccordement du lieu-dit les </w:t>
      </w:r>
      <w:proofErr w:type="spellStart"/>
      <w:r>
        <w:t>Dardalounes</w:t>
      </w:r>
      <w:proofErr w:type="spellEnd"/>
    </w:p>
    <w:p>
      <w:pPr>
        <w:pStyle w:val="Titre2"/>
        <w:numPr>
          <w:ilvl w:val="0"/>
          <w:numId w:val="0"/>
        </w:numPr>
        <w:ind w:left="576" w:hanging="576"/>
      </w:pPr>
      <w:bookmarkStart w:id="45" w:name="_Toc92353828"/>
      <w:r>
        <w:t>2.3. Traitement des eaux usées</w:t>
      </w:r>
      <w:bookmarkEnd w:id="44"/>
      <w:bookmarkEnd w:id="45"/>
    </w:p>
    <w:p>
      <w:pPr>
        <w:pStyle w:val="Titre3"/>
        <w:numPr>
          <w:ilvl w:val="0"/>
          <w:numId w:val="0"/>
        </w:numPr>
      </w:pPr>
      <w:bookmarkStart w:id="46" w:name="_Toc46480272"/>
      <w:bookmarkStart w:id="47" w:name="_Toc92353829"/>
      <w:r>
        <w:t>2.3.1. Charges à considérer</w:t>
      </w:r>
      <w:bookmarkEnd w:id="46"/>
      <w:bookmarkEnd w:id="47"/>
    </w:p>
    <w:p>
      <w:pPr>
        <w:pStyle w:val="Retrait0Bleu"/>
      </w:pPr>
      <w:r>
        <w:t xml:space="preserve">Bilan des charges futures collectées </w:t>
      </w:r>
    </w:p>
    <w:p>
      <w:pPr>
        <w:spacing w:after="120"/>
      </w:pPr>
      <w:r>
        <w:t>Les charges organiques futures estimées à l’horizon 2025 et 2040 sont indiquées dans le tableau ci-après. L’horizon 2025 correspond à l’horizon d’échéance du PLU (5 500 habitants) et 2040 un horizon plus lointain.</w:t>
      </w:r>
    </w:p>
    <w:tbl>
      <w:tblPr>
        <w:tblW w:w="7059" w:type="dxa"/>
        <w:jc w:val="center"/>
        <w:tblCellMar>
          <w:left w:w="70" w:type="dxa"/>
          <w:right w:w="70" w:type="dxa"/>
        </w:tblCellMar>
        <w:tblLook w:val="04A0" w:firstRow="1" w:lastRow="0" w:firstColumn="1" w:lastColumn="0" w:noHBand="0" w:noVBand="1"/>
      </w:tblPr>
      <w:tblGrid>
        <w:gridCol w:w="4659"/>
        <w:gridCol w:w="1200"/>
        <w:gridCol w:w="1200"/>
      </w:tblGrid>
      <w:tr>
        <w:trPr>
          <w:trHeight w:val="780"/>
          <w:jc w:val="center"/>
        </w:trPr>
        <w:tc>
          <w:tcPr>
            <w:tcW w:w="4659" w:type="dxa"/>
            <w:tcBorders>
              <w:top w:val="single" w:sz="8" w:space="0" w:color="auto"/>
              <w:left w:val="single" w:sz="8" w:space="0" w:color="auto"/>
              <w:bottom w:val="single" w:sz="8" w:space="0" w:color="auto"/>
              <w:right w:val="single" w:sz="8" w:space="0" w:color="auto"/>
            </w:tcBorders>
            <w:shd w:val="clear" w:color="000000" w:fill="B8CCE4" w:themeFill="accent1" w:themeFillTint="66"/>
            <w:vAlign w:val="center"/>
            <w:hideMark/>
          </w:tcPr>
          <w:p>
            <w:pPr>
              <w:spacing w:before="0"/>
              <w:jc w:val="center"/>
              <w:rPr>
                <w:rFonts w:cs="Calibri"/>
                <w:b/>
                <w:bCs/>
                <w:color w:val="FFFFFF"/>
              </w:rPr>
            </w:pPr>
            <w:r>
              <w:rPr>
                <w:rFonts w:cs="Calibri"/>
                <w:b/>
                <w:bCs/>
                <w:color w:val="FFFFFF"/>
              </w:rPr>
              <w:t>CHARGES STEU</w:t>
            </w:r>
          </w:p>
        </w:tc>
        <w:tc>
          <w:tcPr>
            <w:tcW w:w="1200" w:type="dxa"/>
            <w:tcBorders>
              <w:top w:val="single" w:sz="8" w:space="0" w:color="auto"/>
              <w:left w:val="nil"/>
              <w:bottom w:val="single" w:sz="8" w:space="0" w:color="auto"/>
              <w:right w:val="single" w:sz="8" w:space="0" w:color="auto"/>
            </w:tcBorders>
            <w:shd w:val="clear" w:color="000000" w:fill="B8CCE4" w:themeFill="accent1" w:themeFillTint="66"/>
            <w:vAlign w:val="center"/>
            <w:hideMark/>
          </w:tcPr>
          <w:p>
            <w:pPr>
              <w:spacing w:before="0"/>
              <w:jc w:val="center"/>
              <w:rPr>
                <w:rFonts w:cs="Calibri"/>
                <w:b/>
                <w:bCs/>
                <w:color w:val="FFFFFF"/>
              </w:rPr>
            </w:pPr>
            <w:r>
              <w:rPr>
                <w:rFonts w:cs="Calibri"/>
                <w:b/>
                <w:bCs/>
                <w:color w:val="FFFFFF"/>
              </w:rPr>
              <w:t>Charge polluante  (EH)</w:t>
            </w:r>
          </w:p>
        </w:tc>
        <w:tc>
          <w:tcPr>
            <w:tcW w:w="1200" w:type="dxa"/>
            <w:tcBorders>
              <w:top w:val="single" w:sz="8" w:space="0" w:color="auto"/>
              <w:left w:val="nil"/>
              <w:bottom w:val="single" w:sz="8" w:space="0" w:color="auto"/>
              <w:right w:val="single" w:sz="8" w:space="0" w:color="auto"/>
            </w:tcBorders>
            <w:shd w:val="clear" w:color="000000" w:fill="B8CCE4" w:themeFill="accent1" w:themeFillTint="66"/>
            <w:vAlign w:val="center"/>
            <w:hideMark/>
          </w:tcPr>
          <w:p>
            <w:pPr>
              <w:spacing w:before="0"/>
              <w:jc w:val="center"/>
              <w:rPr>
                <w:rFonts w:cs="Calibri"/>
                <w:b/>
                <w:bCs/>
                <w:color w:val="FFFFFF"/>
              </w:rPr>
            </w:pPr>
            <w:r>
              <w:rPr>
                <w:rFonts w:cs="Calibri"/>
                <w:b/>
                <w:bCs/>
                <w:color w:val="FFFFFF"/>
              </w:rPr>
              <w:t>Charge hydraulique (m</w:t>
            </w:r>
            <w:r>
              <w:rPr>
                <w:rFonts w:cs="Calibri"/>
                <w:b/>
                <w:bCs/>
                <w:color w:val="FFFFFF"/>
                <w:vertAlign w:val="superscript"/>
              </w:rPr>
              <w:t>3</w:t>
            </w:r>
            <w:r>
              <w:rPr>
                <w:rFonts w:cs="Calibri"/>
                <w:b/>
                <w:bCs/>
                <w:color w:val="FFFFFF"/>
              </w:rPr>
              <w:t xml:space="preserve">/j) </w:t>
            </w:r>
            <w:r>
              <w:rPr>
                <w:rFonts w:cs="Calibri"/>
                <w:b/>
                <w:bCs/>
                <w:color w:val="FFFFFF"/>
                <w:vertAlign w:val="subscript"/>
              </w:rPr>
              <w:t>(2)</w:t>
            </w:r>
          </w:p>
        </w:tc>
      </w:tr>
      <w:tr>
        <w:trPr>
          <w:trHeight w:val="50"/>
          <w:jc w:val="center"/>
        </w:trPr>
        <w:tc>
          <w:tcPr>
            <w:tcW w:w="4659" w:type="dxa"/>
            <w:tcBorders>
              <w:top w:val="nil"/>
              <w:left w:val="single" w:sz="8" w:space="0" w:color="auto"/>
              <w:bottom w:val="single" w:sz="8" w:space="0" w:color="auto"/>
              <w:right w:val="single" w:sz="8" w:space="0" w:color="auto"/>
            </w:tcBorders>
            <w:shd w:val="clear" w:color="auto" w:fill="auto"/>
            <w:vAlign w:val="center"/>
            <w:hideMark/>
          </w:tcPr>
          <w:p>
            <w:pPr>
              <w:rPr>
                <w:rFonts w:cs="Calibri"/>
                <w:color w:val="000000"/>
              </w:rPr>
            </w:pPr>
            <w:r>
              <w:rPr>
                <w:rFonts w:cs="Calibri"/>
                <w:color w:val="000000"/>
              </w:rPr>
              <w:t xml:space="preserve">Charge STEU actuelle </w:t>
            </w:r>
            <w:r>
              <w:rPr>
                <w:rFonts w:cs="Calibri"/>
                <w:color w:val="000000"/>
                <w:vertAlign w:val="subscript"/>
              </w:rPr>
              <w:t>(1)</w:t>
            </w:r>
          </w:p>
        </w:tc>
        <w:tc>
          <w:tcPr>
            <w:tcW w:w="1200" w:type="dxa"/>
            <w:tcBorders>
              <w:top w:val="nil"/>
              <w:left w:val="nil"/>
              <w:bottom w:val="single" w:sz="8" w:space="0" w:color="auto"/>
              <w:right w:val="single" w:sz="8" w:space="0" w:color="auto"/>
            </w:tcBorders>
            <w:shd w:val="clear" w:color="auto" w:fill="auto"/>
            <w:vAlign w:val="center"/>
            <w:hideMark/>
          </w:tcPr>
          <w:p>
            <w:pPr>
              <w:jc w:val="center"/>
              <w:rPr>
                <w:rFonts w:cs="Calibri"/>
                <w:color w:val="000000"/>
              </w:rPr>
            </w:pPr>
            <w:r>
              <w:rPr>
                <w:rFonts w:cs="Calibri"/>
                <w:color w:val="000000"/>
              </w:rPr>
              <w:t>10 167</w:t>
            </w:r>
          </w:p>
        </w:tc>
        <w:tc>
          <w:tcPr>
            <w:tcW w:w="1200" w:type="dxa"/>
            <w:tcBorders>
              <w:top w:val="nil"/>
              <w:left w:val="nil"/>
              <w:bottom w:val="single" w:sz="8" w:space="0" w:color="auto"/>
              <w:right w:val="single" w:sz="8" w:space="0" w:color="auto"/>
            </w:tcBorders>
            <w:shd w:val="clear" w:color="auto" w:fill="auto"/>
            <w:vAlign w:val="center"/>
            <w:hideMark/>
          </w:tcPr>
          <w:p>
            <w:pPr>
              <w:jc w:val="center"/>
              <w:rPr>
                <w:rFonts w:cs="Calibri"/>
                <w:color w:val="000000"/>
              </w:rPr>
            </w:pPr>
            <w:r>
              <w:rPr>
                <w:rFonts w:cs="Calibri"/>
                <w:color w:val="000000"/>
              </w:rPr>
              <w:t>1483</w:t>
            </w:r>
          </w:p>
        </w:tc>
      </w:tr>
      <w:tr>
        <w:trPr>
          <w:trHeight w:val="50"/>
          <w:jc w:val="center"/>
        </w:trPr>
        <w:tc>
          <w:tcPr>
            <w:tcW w:w="4659" w:type="dxa"/>
            <w:tcBorders>
              <w:top w:val="nil"/>
              <w:left w:val="single" w:sz="8" w:space="0" w:color="auto"/>
              <w:bottom w:val="single" w:sz="8" w:space="0" w:color="auto"/>
              <w:right w:val="single" w:sz="8" w:space="0" w:color="auto"/>
            </w:tcBorders>
            <w:shd w:val="clear" w:color="auto" w:fill="auto"/>
            <w:vAlign w:val="center"/>
            <w:hideMark/>
          </w:tcPr>
          <w:p>
            <w:pPr>
              <w:rPr>
                <w:rFonts w:cs="Calibri"/>
                <w:color w:val="000000"/>
              </w:rPr>
            </w:pPr>
            <w:r>
              <w:rPr>
                <w:rFonts w:cs="Calibri"/>
                <w:color w:val="000000"/>
              </w:rPr>
              <w:t>Augmentation (raccordements ANC)</w:t>
            </w:r>
          </w:p>
        </w:tc>
        <w:tc>
          <w:tcPr>
            <w:tcW w:w="1200" w:type="dxa"/>
            <w:tcBorders>
              <w:top w:val="nil"/>
              <w:left w:val="nil"/>
              <w:bottom w:val="single" w:sz="8" w:space="0" w:color="auto"/>
              <w:right w:val="single" w:sz="8" w:space="0" w:color="auto"/>
            </w:tcBorders>
            <w:shd w:val="clear" w:color="auto" w:fill="auto"/>
            <w:vAlign w:val="center"/>
            <w:hideMark/>
          </w:tcPr>
          <w:p>
            <w:pPr>
              <w:jc w:val="center"/>
              <w:rPr>
                <w:rFonts w:cs="Calibri"/>
                <w:color w:val="000000"/>
              </w:rPr>
            </w:pPr>
            <w:r>
              <w:rPr>
                <w:rFonts w:cs="Calibri"/>
                <w:color w:val="000000"/>
              </w:rPr>
              <w:t>30</w:t>
            </w:r>
          </w:p>
        </w:tc>
        <w:tc>
          <w:tcPr>
            <w:tcW w:w="1200" w:type="dxa"/>
            <w:tcBorders>
              <w:top w:val="nil"/>
              <w:left w:val="nil"/>
              <w:bottom w:val="single" w:sz="8" w:space="0" w:color="auto"/>
              <w:right w:val="single" w:sz="8" w:space="0" w:color="auto"/>
            </w:tcBorders>
            <w:shd w:val="clear" w:color="auto" w:fill="auto"/>
            <w:vAlign w:val="center"/>
            <w:hideMark/>
          </w:tcPr>
          <w:p>
            <w:pPr>
              <w:jc w:val="center"/>
              <w:rPr>
                <w:rFonts w:cs="Calibri"/>
                <w:color w:val="000000"/>
              </w:rPr>
            </w:pPr>
            <w:r>
              <w:rPr>
                <w:rFonts w:cs="Calibri"/>
                <w:color w:val="000000"/>
              </w:rPr>
              <w:t>5</w:t>
            </w:r>
          </w:p>
        </w:tc>
      </w:tr>
      <w:tr>
        <w:trPr>
          <w:trHeight w:val="50"/>
          <w:jc w:val="center"/>
        </w:trPr>
        <w:tc>
          <w:tcPr>
            <w:tcW w:w="4659" w:type="dxa"/>
            <w:tcBorders>
              <w:top w:val="nil"/>
              <w:left w:val="single" w:sz="8" w:space="0" w:color="auto"/>
              <w:bottom w:val="single" w:sz="8" w:space="0" w:color="auto"/>
              <w:right w:val="single" w:sz="8" w:space="0" w:color="auto"/>
            </w:tcBorders>
            <w:shd w:val="clear" w:color="auto" w:fill="auto"/>
            <w:vAlign w:val="center"/>
            <w:hideMark/>
          </w:tcPr>
          <w:p>
            <w:pPr>
              <w:rPr>
                <w:rFonts w:cs="Calibri"/>
                <w:color w:val="000000"/>
              </w:rPr>
            </w:pPr>
            <w:r>
              <w:rPr>
                <w:rFonts w:cs="Calibri"/>
                <w:color w:val="000000"/>
              </w:rPr>
              <w:t>Augmentation démographique 2018-2025 (5500 habitants en 2025)</w:t>
            </w:r>
          </w:p>
        </w:tc>
        <w:tc>
          <w:tcPr>
            <w:tcW w:w="1200" w:type="dxa"/>
            <w:tcBorders>
              <w:top w:val="nil"/>
              <w:left w:val="nil"/>
              <w:bottom w:val="single" w:sz="8" w:space="0" w:color="auto"/>
              <w:right w:val="single" w:sz="8" w:space="0" w:color="auto"/>
            </w:tcBorders>
            <w:shd w:val="clear" w:color="auto" w:fill="auto"/>
            <w:vAlign w:val="center"/>
            <w:hideMark/>
          </w:tcPr>
          <w:p>
            <w:pPr>
              <w:jc w:val="center"/>
              <w:rPr>
                <w:rFonts w:cs="Calibri"/>
                <w:color w:val="000000"/>
              </w:rPr>
            </w:pPr>
            <w:r>
              <w:rPr>
                <w:rFonts w:cs="Calibri"/>
                <w:color w:val="000000"/>
              </w:rPr>
              <w:t>507</w:t>
            </w:r>
          </w:p>
        </w:tc>
        <w:tc>
          <w:tcPr>
            <w:tcW w:w="1200" w:type="dxa"/>
            <w:tcBorders>
              <w:top w:val="nil"/>
              <w:left w:val="nil"/>
              <w:bottom w:val="single" w:sz="8" w:space="0" w:color="auto"/>
              <w:right w:val="single" w:sz="8" w:space="0" w:color="auto"/>
            </w:tcBorders>
            <w:shd w:val="clear" w:color="auto" w:fill="auto"/>
            <w:vAlign w:val="center"/>
            <w:hideMark/>
          </w:tcPr>
          <w:p>
            <w:pPr>
              <w:jc w:val="center"/>
              <w:rPr>
                <w:rFonts w:cs="Calibri"/>
                <w:color w:val="000000"/>
              </w:rPr>
            </w:pPr>
            <w:r>
              <w:rPr>
                <w:rFonts w:cs="Calibri"/>
                <w:color w:val="000000"/>
              </w:rPr>
              <w:t>63</w:t>
            </w:r>
          </w:p>
        </w:tc>
      </w:tr>
      <w:tr>
        <w:trPr>
          <w:trHeight w:val="50"/>
          <w:jc w:val="center"/>
        </w:trPr>
        <w:tc>
          <w:tcPr>
            <w:tcW w:w="4659" w:type="dxa"/>
            <w:tcBorders>
              <w:top w:val="nil"/>
              <w:left w:val="single" w:sz="8" w:space="0" w:color="auto"/>
              <w:bottom w:val="single" w:sz="8" w:space="0" w:color="auto"/>
              <w:right w:val="single" w:sz="8" w:space="0" w:color="auto"/>
            </w:tcBorders>
            <w:shd w:val="clear" w:color="auto" w:fill="auto"/>
            <w:vAlign w:val="center"/>
            <w:hideMark/>
          </w:tcPr>
          <w:p>
            <w:pPr>
              <w:rPr>
                <w:rFonts w:cs="Calibri"/>
                <w:b/>
                <w:bCs/>
                <w:color w:val="000000"/>
              </w:rPr>
            </w:pPr>
            <w:r>
              <w:rPr>
                <w:rFonts w:cs="Calibri"/>
                <w:b/>
                <w:bCs/>
                <w:color w:val="000000"/>
              </w:rPr>
              <w:t>Charge Horizon 2025</w:t>
            </w:r>
          </w:p>
        </w:tc>
        <w:tc>
          <w:tcPr>
            <w:tcW w:w="1200" w:type="dxa"/>
            <w:tcBorders>
              <w:top w:val="nil"/>
              <w:left w:val="nil"/>
              <w:bottom w:val="single" w:sz="8" w:space="0" w:color="auto"/>
              <w:right w:val="single" w:sz="8" w:space="0" w:color="auto"/>
            </w:tcBorders>
            <w:shd w:val="clear" w:color="auto" w:fill="auto"/>
            <w:vAlign w:val="center"/>
            <w:hideMark/>
          </w:tcPr>
          <w:p>
            <w:pPr>
              <w:jc w:val="center"/>
              <w:rPr>
                <w:rFonts w:cs="Calibri"/>
                <w:b/>
                <w:bCs/>
                <w:color w:val="000000"/>
              </w:rPr>
            </w:pPr>
            <w:r>
              <w:rPr>
                <w:rFonts w:cs="Calibri"/>
                <w:b/>
                <w:bCs/>
                <w:color w:val="000000"/>
              </w:rPr>
              <w:t>10 673</w:t>
            </w:r>
          </w:p>
        </w:tc>
        <w:tc>
          <w:tcPr>
            <w:tcW w:w="1200" w:type="dxa"/>
            <w:tcBorders>
              <w:top w:val="nil"/>
              <w:left w:val="nil"/>
              <w:bottom w:val="single" w:sz="8" w:space="0" w:color="auto"/>
              <w:right w:val="single" w:sz="8" w:space="0" w:color="auto"/>
            </w:tcBorders>
            <w:shd w:val="clear" w:color="auto" w:fill="auto"/>
            <w:vAlign w:val="center"/>
            <w:hideMark/>
          </w:tcPr>
          <w:p>
            <w:pPr>
              <w:jc w:val="center"/>
              <w:rPr>
                <w:rFonts w:cs="Calibri"/>
                <w:b/>
                <w:bCs/>
                <w:color w:val="000000"/>
              </w:rPr>
            </w:pPr>
            <w:r>
              <w:rPr>
                <w:rFonts w:cs="Calibri"/>
                <w:b/>
                <w:bCs/>
                <w:color w:val="000000"/>
              </w:rPr>
              <w:t>1 546</w:t>
            </w:r>
          </w:p>
        </w:tc>
      </w:tr>
      <w:tr>
        <w:trPr>
          <w:trHeight w:val="50"/>
          <w:jc w:val="center"/>
        </w:trPr>
        <w:tc>
          <w:tcPr>
            <w:tcW w:w="4659" w:type="dxa"/>
            <w:tcBorders>
              <w:top w:val="nil"/>
              <w:left w:val="single" w:sz="8" w:space="0" w:color="auto"/>
              <w:bottom w:val="single" w:sz="8" w:space="0" w:color="auto"/>
              <w:right w:val="single" w:sz="8" w:space="0" w:color="auto"/>
            </w:tcBorders>
            <w:shd w:val="clear" w:color="auto" w:fill="auto"/>
            <w:vAlign w:val="center"/>
            <w:hideMark/>
          </w:tcPr>
          <w:p>
            <w:pPr>
              <w:rPr>
                <w:rFonts w:cs="Calibri"/>
                <w:color w:val="000000"/>
              </w:rPr>
            </w:pPr>
            <w:r>
              <w:rPr>
                <w:rFonts w:cs="Calibri"/>
                <w:color w:val="000000"/>
              </w:rPr>
              <w:t>Augmentation démographique 2025-2040 (+1,95%/an)</w:t>
            </w:r>
          </w:p>
        </w:tc>
        <w:tc>
          <w:tcPr>
            <w:tcW w:w="1200" w:type="dxa"/>
            <w:tcBorders>
              <w:top w:val="nil"/>
              <w:left w:val="nil"/>
              <w:bottom w:val="single" w:sz="8" w:space="0" w:color="auto"/>
              <w:right w:val="single" w:sz="8" w:space="0" w:color="auto"/>
            </w:tcBorders>
            <w:shd w:val="clear" w:color="auto" w:fill="auto"/>
            <w:vAlign w:val="center"/>
            <w:hideMark/>
          </w:tcPr>
          <w:p>
            <w:pPr>
              <w:jc w:val="center"/>
              <w:rPr>
                <w:rFonts w:cs="Calibri"/>
                <w:color w:val="000000"/>
              </w:rPr>
            </w:pPr>
            <w:r>
              <w:rPr>
                <w:rFonts w:cs="Calibri"/>
                <w:color w:val="000000"/>
              </w:rPr>
              <w:t>1 849</w:t>
            </w:r>
          </w:p>
        </w:tc>
        <w:tc>
          <w:tcPr>
            <w:tcW w:w="1200" w:type="dxa"/>
            <w:tcBorders>
              <w:top w:val="nil"/>
              <w:left w:val="nil"/>
              <w:bottom w:val="single" w:sz="8" w:space="0" w:color="auto"/>
              <w:right w:val="single" w:sz="8" w:space="0" w:color="auto"/>
            </w:tcBorders>
            <w:shd w:val="clear" w:color="auto" w:fill="auto"/>
            <w:vAlign w:val="center"/>
            <w:hideMark/>
          </w:tcPr>
          <w:p>
            <w:pPr>
              <w:jc w:val="center"/>
              <w:rPr>
                <w:rFonts w:cs="Calibri"/>
                <w:color w:val="000000"/>
              </w:rPr>
            </w:pPr>
            <w:r>
              <w:rPr>
                <w:rFonts w:cs="Calibri"/>
                <w:color w:val="000000"/>
              </w:rPr>
              <w:t>231</w:t>
            </w:r>
          </w:p>
        </w:tc>
      </w:tr>
      <w:tr>
        <w:trPr>
          <w:trHeight w:val="50"/>
          <w:jc w:val="center"/>
        </w:trPr>
        <w:tc>
          <w:tcPr>
            <w:tcW w:w="4659" w:type="dxa"/>
            <w:tcBorders>
              <w:top w:val="nil"/>
              <w:left w:val="single" w:sz="8" w:space="0" w:color="auto"/>
              <w:bottom w:val="single" w:sz="8" w:space="0" w:color="auto"/>
              <w:right w:val="single" w:sz="8" w:space="0" w:color="auto"/>
            </w:tcBorders>
            <w:shd w:val="clear" w:color="auto" w:fill="auto"/>
            <w:vAlign w:val="center"/>
            <w:hideMark/>
          </w:tcPr>
          <w:p>
            <w:pPr>
              <w:rPr>
                <w:rFonts w:cs="Calibri"/>
                <w:b/>
                <w:bCs/>
                <w:color w:val="000000"/>
              </w:rPr>
            </w:pPr>
            <w:r>
              <w:rPr>
                <w:rFonts w:cs="Calibri"/>
                <w:b/>
                <w:bCs/>
                <w:color w:val="000000"/>
              </w:rPr>
              <w:t>Charge Horizon 2040</w:t>
            </w:r>
          </w:p>
        </w:tc>
        <w:tc>
          <w:tcPr>
            <w:tcW w:w="1200" w:type="dxa"/>
            <w:tcBorders>
              <w:top w:val="nil"/>
              <w:left w:val="nil"/>
              <w:bottom w:val="single" w:sz="8" w:space="0" w:color="auto"/>
              <w:right w:val="single" w:sz="8" w:space="0" w:color="auto"/>
            </w:tcBorders>
            <w:shd w:val="clear" w:color="auto" w:fill="auto"/>
            <w:vAlign w:val="center"/>
            <w:hideMark/>
          </w:tcPr>
          <w:p>
            <w:pPr>
              <w:jc w:val="center"/>
              <w:rPr>
                <w:rFonts w:cs="Calibri"/>
                <w:b/>
                <w:bCs/>
                <w:color w:val="000000"/>
              </w:rPr>
            </w:pPr>
            <w:r>
              <w:rPr>
                <w:rFonts w:cs="Calibri"/>
                <w:b/>
                <w:bCs/>
                <w:color w:val="000000"/>
              </w:rPr>
              <w:t>12 522</w:t>
            </w:r>
          </w:p>
        </w:tc>
        <w:tc>
          <w:tcPr>
            <w:tcW w:w="1200" w:type="dxa"/>
            <w:tcBorders>
              <w:top w:val="nil"/>
              <w:left w:val="nil"/>
              <w:bottom w:val="single" w:sz="8" w:space="0" w:color="auto"/>
              <w:right w:val="single" w:sz="8" w:space="0" w:color="auto"/>
            </w:tcBorders>
            <w:shd w:val="clear" w:color="auto" w:fill="auto"/>
            <w:vAlign w:val="center"/>
            <w:hideMark/>
          </w:tcPr>
          <w:p>
            <w:pPr>
              <w:jc w:val="center"/>
              <w:rPr>
                <w:rFonts w:cs="Calibri"/>
                <w:b/>
                <w:bCs/>
                <w:color w:val="000000"/>
              </w:rPr>
            </w:pPr>
            <w:r>
              <w:rPr>
                <w:rFonts w:cs="Calibri"/>
                <w:b/>
                <w:bCs/>
                <w:color w:val="000000"/>
              </w:rPr>
              <w:t>1 777</w:t>
            </w:r>
          </w:p>
        </w:tc>
      </w:tr>
    </w:tbl>
    <w:p>
      <w:pPr>
        <w:pStyle w:val="Lgende"/>
        <w:rPr>
          <w:szCs w:val="20"/>
        </w:rPr>
      </w:pPr>
      <w:bookmarkStart w:id="48" w:name="_Toc46480590"/>
      <w:r>
        <w:rPr>
          <w:szCs w:val="20"/>
        </w:rPr>
        <w:t xml:space="preserve">                            Charges futures horizons 2025 et 2040</w:t>
      </w:r>
      <w:bookmarkEnd w:id="48"/>
    </w:p>
    <w:p>
      <w:pPr>
        <w:pStyle w:val="Paragraphedeliste"/>
        <w:numPr>
          <w:ilvl w:val="0"/>
          <w:numId w:val="14"/>
        </w:numPr>
        <w:spacing w:after="120"/>
        <w:rPr>
          <w:i/>
        </w:rPr>
      </w:pPr>
      <w:r>
        <w:rPr>
          <w:i/>
        </w:rPr>
        <w:t>Percentile 95 de 2016 à 2020 pour la charge hydraulique et CBPO de 2016 à 2020 pour la charge polluante</w:t>
      </w:r>
    </w:p>
    <w:p>
      <w:pPr>
        <w:pStyle w:val="Paragraphedeliste"/>
        <w:numPr>
          <w:ilvl w:val="0"/>
          <w:numId w:val="14"/>
        </w:numPr>
        <w:spacing w:after="120"/>
        <w:rPr>
          <w:i/>
        </w:rPr>
      </w:pPr>
      <w:r>
        <w:rPr>
          <w:i/>
        </w:rPr>
        <w:t>Base 125l/jour/habitant supplémentaire</w:t>
      </w:r>
    </w:p>
    <w:p>
      <w:pPr>
        <w:spacing w:after="120"/>
      </w:pPr>
      <w:r>
        <w:t>Ces résultats mettent en évidence que le système de traitement tel qu’il existe aujourd’hui est sous-dimensionné d’un point de vue de la charge hydraulique (capacité nominale 1 400m</w:t>
      </w:r>
      <w:r>
        <w:rPr>
          <w:vertAlign w:val="superscript"/>
        </w:rPr>
        <w:t>3</w:t>
      </w:r>
      <w:r>
        <w:t>/jour) et sous dimensionné d’un point de vue de la charge polluante.</w:t>
      </w:r>
    </w:p>
    <w:p>
      <w:pPr>
        <w:spacing w:after="120"/>
      </w:pPr>
      <w:r>
        <w:t>A titre de comparaison, les principaux paramètres de dimensionnement de la STEU, les charges actuelles, horizons 2025 et  horizons 2040 sont synthétisés ci-après :</w:t>
      </w:r>
    </w:p>
    <w:tbl>
      <w:tblPr>
        <w:tblW w:w="8966" w:type="dxa"/>
        <w:jc w:val="center"/>
        <w:tblCellMar>
          <w:left w:w="70" w:type="dxa"/>
          <w:right w:w="70" w:type="dxa"/>
        </w:tblCellMar>
        <w:tblLook w:val="04A0" w:firstRow="1" w:lastRow="0" w:firstColumn="1" w:lastColumn="0" w:noHBand="0" w:noVBand="1"/>
      </w:tblPr>
      <w:tblGrid>
        <w:gridCol w:w="1826"/>
        <w:gridCol w:w="908"/>
        <w:gridCol w:w="1762"/>
        <w:gridCol w:w="1587"/>
        <w:gridCol w:w="1379"/>
        <w:gridCol w:w="1504"/>
      </w:tblGrid>
      <w:tr>
        <w:trPr>
          <w:trHeight w:val="300"/>
          <w:jc w:val="center"/>
        </w:trPr>
        <w:tc>
          <w:tcPr>
            <w:tcW w:w="1826" w:type="dxa"/>
            <w:tcBorders>
              <w:top w:val="single" w:sz="4" w:space="0" w:color="auto"/>
              <w:left w:val="single" w:sz="4" w:space="0" w:color="auto"/>
              <w:bottom w:val="single" w:sz="4" w:space="0" w:color="auto"/>
              <w:right w:val="single" w:sz="4" w:space="0" w:color="auto"/>
            </w:tcBorders>
            <w:shd w:val="clear" w:color="000000" w:fill="B8CCE4" w:themeFill="accent1" w:themeFillTint="66"/>
            <w:vAlign w:val="center"/>
            <w:hideMark/>
          </w:tcPr>
          <w:p>
            <w:pPr>
              <w:jc w:val="center"/>
              <w:rPr>
                <w:rFonts w:cs="Calibri"/>
                <w:b/>
                <w:bCs/>
                <w:color w:val="FFFFFF"/>
              </w:rPr>
            </w:pPr>
            <w:r>
              <w:rPr>
                <w:rFonts w:cs="Calibri"/>
                <w:b/>
                <w:bCs/>
                <w:color w:val="FFFFFF" w:themeColor="background1"/>
              </w:rPr>
              <w:t>Paramètres de dimensionnement</w:t>
            </w:r>
          </w:p>
        </w:tc>
        <w:tc>
          <w:tcPr>
            <w:tcW w:w="908" w:type="dxa"/>
            <w:tcBorders>
              <w:top w:val="single" w:sz="4" w:space="0" w:color="auto"/>
              <w:left w:val="nil"/>
              <w:bottom w:val="single" w:sz="4" w:space="0" w:color="auto"/>
              <w:right w:val="single" w:sz="4" w:space="0" w:color="auto"/>
            </w:tcBorders>
            <w:shd w:val="clear" w:color="000000" w:fill="B8CCE4" w:themeFill="accent1" w:themeFillTint="66"/>
            <w:vAlign w:val="center"/>
          </w:tcPr>
          <w:p>
            <w:pPr>
              <w:jc w:val="center"/>
              <w:rPr>
                <w:rFonts w:cs="Calibri"/>
                <w:b/>
                <w:bCs/>
                <w:color w:val="FFFFFF"/>
              </w:rPr>
            </w:pPr>
            <w:r>
              <w:rPr>
                <w:rFonts w:cs="Calibri"/>
                <w:b/>
                <w:bCs/>
                <w:color w:val="FFFFFF" w:themeColor="background1"/>
              </w:rPr>
              <w:t>Unité</w:t>
            </w:r>
          </w:p>
        </w:tc>
        <w:tc>
          <w:tcPr>
            <w:tcW w:w="1762" w:type="dxa"/>
            <w:tcBorders>
              <w:top w:val="single" w:sz="4" w:space="0" w:color="auto"/>
              <w:left w:val="single" w:sz="4" w:space="0" w:color="auto"/>
              <w:bottom w:val="single" w:sz="4" w:space="0" w:color="auto"/>
              <w:right w:val="single" w:sz="4" w:space="0" w:color="auto"/>
            </w:tcBorders>
            <w:shd w:val="clear" w:color="000000" w:fill="B8CCE4" w:themeFill="accent1" w:themeFillTint="66"/>
            <w:vAlign w:val="center"/>
          </w:tcPr>
          <w:p>
            <w:pPr>
              <w:jc w:val="center"/>
              <w:rPr>
                <w:rFonts w:cs="Calibri"/>
                <w:b/>
                <w:bCs/>
                <w:color w:val="FFFFFF"/>
              </w:rPr>
            </w:pPr>
            <w:r>
              <w:rPr>
                <w:rFonts w:cs="Calibri"/>
                <w:b/>
                <w:bCs/>
                <w:color w:val="FFFFFF" w:themeColor="background1"/>
              </w:rPr>
              <w:t>Dimensionnement STEU</w:t>
            </w:r>
          </w:p>
        </w:tc>
        <w:tc>
          <w:tcPr>
            <w:tcW w:w="1587" w:type="dxa"/>
            <w:tcBorders>
              <w:top w:val="single" w:sz="4" w:space="0" w:color="auto"/>
              <w:left w:val="single" w:sz="4" w:space="0" w:color="auto"/>
              <w:bottom w:val="single" w:sz="4" w:space="0" w:color="auto"/>
              <w:right w:val="single" w:sz="4" w:space="0" w:color="auto"/>
            </w:tcBorders>
            <w:shd w:val="clear" w:color="000000" w:fill="B8CCE4" w:themeFill="accent1" w:themeFillTint="66"/>
            <w:vAlign w:val="center"/>
            <w:hideMark/>
          </w:tcPr>
          <w:p>
            <w:pPr>
              <w:jc w:val="center"/>
              <w:rPr>
                <w:rFonts w:cs="Calibri"/>
                <w:b/>
                <w:bCs/>
                <w:color w:val="FFFFFF"/>
              </w:rPr>
            </w:pPr>
            <w:r>
              <w:rPr>
                <w:rFonts w:cs="Calibri"/>
                <w:b/>
                <w:bCs/>
                <w:color w:val="FFFFFF" w:themeColor="background1"/>
              </w:rPr>
              <w:t>Situation actuelle</w:t>
            </w:r>
          </w:p>
        </w:tc>
        <w:tc>
          <w:tcPr>
            <w:tcW w:w="1379" w:type="dxa"/>
            <w:tcBorders>
              <w:top w:val="single" w:sz="4" w:space="0" w:color="auto"/>
              <w:left w:val="nil"/>
              <w:bottom w:val="single" w:sz="4" w:space="0" w:color="auto"/>
              <w:right w:val="nil"/>
            </w:tcBorders>
            <w:shd w:val="clear" w:color="000000" w:fill="B8CCE4" w:themeFill="accent1" w:themeFillTint="66"/>
            <w:vAlign w:val="center"/>
          </w:tcPr>
          <w:p>
            <w:pPr>
              <w:jc w:val="center"/>
              <w:rPr>
                <w:rFonts w:cs="Calibri"/>
                <w:b/>
                <w:bCs/>
                <w:color w:val="FFFFFF"/>
              </w:rPr>
            </w:pPr>
            <w:r>
              <w:rPr>
                <w:rFonts w:cs="Calibri"/>
                <w:b/>
                <w:bCs/>
                <w:color w:val="FFFFFF" w:themeColor="background1"/>
              </w:rPr>
              <w:t>Horizon 2025</w:t>
            </w:r>
          </w:p>
        </w:tc>
        <w:tc>
          <w:tcPr>
            <w:tcW w:w="1504" w:type="dxa"/>
            <w:tcBorders>
              <w:top w:val="single" w:sz="4" w:space="0" w:color="auto"/>
              <w:left w:val="single" w:sz="4" w:space="0" w:color="auto"/>
              <w:bottom w:val="single" w:sz="4" w:space="0" w:color="auto"/>
              <w:right w:val="single" w:sz="4" w:space="0" w:color="auto"/>
            </w:tcBorders>
            <w:shd w:val="clear" w:color="000000" w:fill="B8CCE4" w:themeFill="accent1" w:themeFillTint="66"/>
            <w:vAlign w:val="center"/>
            <w:hideMark/>
          </w:tcPr>
          <w:p>
            <w:pPr>
              <w:jc w:val="center"/>
              <w:rPr>
                <w:rFonts w:cs="Calibri"/>
                <w:b/>
                <w:bCs/>
                <w:color w:val="FFFFFF"/>
              </w:rPr>
            </w:pPr>
            <w:r>
              <w:rPr>
                <w:rFonts w:cs="Calibri"/>
                <w:b/>
                <w:bCs/>
                <w:color w:val="FFFFFF" w:themeColor="background1"/>
              </w:rPr>
              <w:t>Horizon 2040</w:t>
            </w:r>
          </w:p>
        </w:tc>
      </w:tr>
      <w:tr>
        <w:trPr>
          <w:trHeight w:val="300"/>
          <w:jc w:val="center"/>
        </w:trPr>
        <w:tc>
          <w:tcPr>
            <w:tcW w:w="18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pPr>
              <w:rPr>
                <w:rFonts w:cs="Calibri"/>
                <w:color w:val="000000"/>
              </w:rPr>
            </w:pPr>
            <w:r>
              <w:rPr>
                <w:rFonts w:cs="Calibri"/>
                <w:color w:val="000000"/>
              </w:rPr>
              <w:t>Capacité de la STEP</w:t>
            </w:r>
          </w:p>
        </w:tc>
        <w:tc>
          <w:tcPr>
            <w:tcW w:w="908" w:type="dxa"/>
            <w:tcBorders>
              <w:top w:val="single" w:sz="4" w:space="0" w:color="auto"/>
              <w:left w:val="nil"/>
              <w:bottom w:val="single" w:sz="4" w:space="0" w:color="auto"/>
              <w:right w:val="single" w:sz="4" w:space="0" w:color="auto"/>
            </w:tcBorders>
            <w:vAlign w:val="center"/>
          </w:tcPr>
          <w:p>
            <w:pPr>
              <w:jc w:val="center"/>
              <w:rPr>
                <w:rFonts w:cs="Calibri"/>
                <w:color w:val="000000"/>
              </w:rPr>
            </w:pPr>
            <w:r>
              <w:rPr>
                <w:rFonts w:cs="Calibri"/>
                <w:color w:val="000000"/>
              </w:rPr>
              <w:t>EH</w:t>
            </w:r>
          </w:p>
        </w:tc>
        <w:tc>
          <w:tcPr>
            <w:tcW w:w="1762" w:type="dxa"/>
            <w:tcBorders>
              <w:top w:val="single" w:sz="4" w:space="0" w:color="auto"/>
              <w:left w:val="single" w:sz="4" w:space="0" w:color="auto"/>
              <w:bottom w:val="single" w:sz="4" w:space="0" w:color="auto"/>
              <w:right w:val="single" w:sz="4" w:space="0" w:color="auto"/>
            </w:tcBorders>
            <w:vAlign w:val="center"/>
          </w:tcPr>
          <w:p>
            <w:pPr>
              <w:jc w:val="center"/>
              <w:rPr>
                <w:rFonts w:cs="Calibri"/>
                <w:color w:val="000000"/>
              </w:rPr>
            </w:pPr>
            <w:r>
              <w:rPr>
                <w:rFonts w:cs="Calibri"/>
                <w:color w:val="000000"/>
              </w:rPr>
              <w:t>7 000</w:t>
            </w:r>
          </w:p>
        </w:tc>
        <w:tc>
          <w:tcPr>
            <w:tcW w:w="15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pPr>
              <w:jc w:val="center"/>
              <w:rPr>
                <w:rFonts w:cs="Calibri"/>
                <w:color w:val="000000"/>
              </w:rPr>
            </w:pPr>
            <w:r>
              <w:rPr>
                <w:rFonts w:cs="Calibri"/>
                <w:color w:val="000000"/>
              </w:rPr>
              <w:t>10 167</w:t>
            </w:r>
          </w:p>
        </w:tc>
        <w:tc>
          <w:tcPr>
            <w:tcW w:w="1379" w:type="dxa"/>
            <w:tcBorders>
              <w:top w:val="single" w:sz="4" w:space="0" w:color="auto"/>
              <w:left w:val="nil"/>
              <w:bottom w:val="single" w:sz="4" w:space="0" w:color="auto"/>
              <w:right w:val="nil"/>
            </w:tcBorders>
            <w:vAlign w:val="center"/>
          </w:tcPr>
          <w:p>
            <w:pPr>
              <w:jc w:val="center"/>
              <w:rPr>
                <w:rFonts w:cs="Calibri"/>
                <w:color w:val="000000"/>
              </w:rPr>
            </w:pPr>
            <w:r>
              <w:rPr>
                <w:rFonts w:cs="Calibri"/>
                <w:color w:val="000000"/>
              </w:rPr>
              <w:t>10 703</w:t>
            </w:r>
          </w:p>
        </w:tc>
        <w:tc>
          <w:tcPr>
            <w:tcW w:w="15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pPr>
              <w:jc w:val="center"/>
              <w:rPr>
                <w:rFonts w:cs="Calibri"/>
                <w:color w:val="000000"/>
              </w:rPr>
            </w:pPr>
            <w:r>
              <w:rPr>
                <w:rFonts w:cs="Calibri"/>
                <w:color w:val="000000"/>
              </w:rPr>
              <w:t>12 552</w:t>
            </w:r>
          </w:p>
        </w:tc>
      </w:tr>
      <w:tr>
        <w:trPr>
          <w:trHeight w:val="300"/>
          <w:jc w:val="center"/>
        </w:trPr>
        <w:tc>
          <w:tcPr>
            <w:tcW w:w="1826" w:type="dxa"/>
            <w:tcBorders>
              <w:top w:val="nil"/>
              <w:left w:val="single" w:sz="4" w:space="0" w:color="auto"/>
              <w:bottom w:val="single" w:sz="4" w:space="0" w:color="auto"/>
              <w:right w:val="single" w:sz="4" w:space="0" w:color="auto"/>
            </w:tcBorders>
            <w:shd w:val="clear" w:color="auto" w:fill="auto"/>
            <w:noWrap/>
            <w:vAlign w:val="center"/>
            <w:hideMark/>
          </w:tcPr>
          <w:p>
            <w:pPr>
              <w:rPr>
                <w:rFonts w:cs="Calibri"/>
                <w:color w:val="000000"/>
              </w:rPr>
            </w:pPr>
            <w:r>
              <w:rPr>
                <w:rFonts w:cs="Calibri"/>
                <w:color w:val="000000"/>
              </w:rPr>
              <w:t xml:space="preserve">Débit journalier </w:t>
            </w:r>
          </w:p>
        </w:tc>
        <w:tc>
          <w:tcPr>
            <w:tcW w:w="908" w:type="dxa"/>
            <w:tcBorders>
              <w:top w:val="single" w:sz="4" w:space="0" w:color="auto"/>
              <w:left w:val="nil"/>
              <w:bottom w:val="single" w:sz="4" w:space="0" w:color="auto"/>
              <w:right w:val="single" w:sz="4" w:space="0" w:color="auto"/>
            </w:tcBorders>
            <w:vAlign w:val="center"/>
          </w:tcPr>
          <w:p>
            <w:pPr>
              <w:jc w:val="center"/>
              <w:rPr>
                <w:rFonts w:cs="Calibri"/>
                <w:color w:val="000000"/>
              </w:rPr>
            </w:pPr>
            <w:r>
              <w:rPr>
                <w:rFonts w:cs="Calibri"/>
                <w:color w:val="000000"/>
              </w:rPr>
              <w:t>m</w:t>
            </w:r>
            <w:r>
              <w:rPr>
                <w:rFonts w:cs="Calibri"/>
                <w:color w:val="000000"/>
                <w:vertAlign w:val="superscript"/>
              </w:rPr>
              <w:t>3</w:t>
            </w:r>
            <w:r>
              <w:rPr>
                <w:rFonts w:cs="Calibri"/>
                <w:color w:val="000000"/>
              </w:rPr>
              <w:t>/j</w:t>
            </w:r>
          </w:p>
        </w:tc>
        <w:tc>
          <w:tcPr>
            <w:tcW w:w="1762" w:type="dxa"/>
            <w:tcBorders>
              <w:top w:val="nil"/>
              <w:left w:val="single" w:sz="4" w:space="0" w:color="auto"/>
              <w:bottom w:val="single" w:sz="4" w:space="0" w:color="auto"/>
              <w:right w:val="single" w:sz="4" w:space="0" w:color="auto"/>
            </w:tcBorders>
            <w:vAlign w:val="center"/>
          </w:tcPr>
          <w:p>
            <w:pPr>
              <w:jc w:val="center"/>
              <w:rPr>
                <w:rFonts w:cs="Calibri"/>
                <w:color w:val="000000"/>
              </w:rPr>
            </w:pPr>
            <w:r>
              <w:rPr>
                <w:rFonts w:cs="Calibri"/>
                <w:color w:val="000000"/>
              </w:rPr>
              <w:t>1 400</w:t>
            </w:r>
          </w:p>
        </w:tc>
        <w:tc>
          <w:tcPr>
            <w:tcW w:w="1587" w:type="dxa"/>
            <w:tcBorders>
              <w:top w:val="nil"/>
              <w:left w:val="single" w:sz="4" w:space="0" w:color="auto"/>
              <w:bottom w:val="single" w:sz="4" w:space="0" w:color="auto"/>
              <w:right w:val="single" w:sz="4" w:space="0" w:color="auto"/>
            </w:tcBorders>
            <w:shd w:val="clear" w:color="auto" w:fill="auto"/>
            <w:noWrap/>
            <w:vAlign w:val="center"/>
            <w:hideMark/>
          </w:tcPr>
          <w:p>
            <w:pPr>
              <w:jc w:val="center"/>
              <w:rPr>
                <w:rFonts w:cs="Calibri"/>
                <w:color w:val="000000"/>
              </w:rPr>
            </w:pPr>
            <w:r>
              <w:rPr>
                <w:rFonts w:cs="Calibri"/>
                <w:color w:val="000000"/>
              </w:rPr>
              <w:t>1 483</w:t>
            </w:r>
          </w:p>
        </w:tc>
        <w:tc>
          <w:tcPr>
            <w:tcW w:w="1379" w:type="dxa"/>
            <w:tcBorders>
              <w:top w:val="single" w:sz="4" w:space="0" w:color="auto"/>
              <w:left w:val="nil"/>
              <w:bottom w:val="single" w:sz="4" w:space="0" w:color="auto"/>
              <w:right w:val="nil"/>
            </w:tcBorders>
            <w:vAlign w:val="center"/>
          </w:tcPr>
          <w:p>
            <w:pPr>
              <w:jc w:val="center"/>
              <w:rPr>
                <w:rFonts w:cs="Calibri"/>
                <w:color w:val="000000"/>
              </w:rPr>
            </w:pPr>
            <w:r>
              <w:rPr>
                <w:rFonts w:cs="Calibri"/>
                <w:color w:val="000000"/>
              </w:rPr>
              <w:t>1 546</w:t>
            </w:r>
          </w:p>
        </w:tc>
        <w:tc>
          <w:tcPr>
            <w:tcW w:w="1504" w:type="dxa"/>
            <w:tcBorders>
              <w:top w:val="nil"/>
              <w:left w:val="single" w:sz="4" w:space="0" w:color="auto"/>
              <w:bottom w:val="single" w:sz="4" w:space="0" w:color="auto"/>
              <w:right w:val="single" w:sz="4" w:space="0" w:color="auto"/>
            </w:tcBorders>
            <w:shd w:val="clear" w:color="auto" w:fill="auto"/>
            <w:noWrap/>
            <w:vAlign w:val="center"/>
            <w:hideMark/>
          </w:tcPr>
          <w:p>
            <w:pPr>
              <w:jc w:val="center"/>
              <w:rPr>
                <w:rFonts w:cs="Calibri"/>
                <w:color w:val="000000"/>
              </w:rPr>
            </w:pPr>
            <w:r>
              <w:rPr>
                <w:rFonts w:cs="Calibri"/>
                <w:color w:val="000000"/>
              </w:rPr>
              <w:t>1 777</w:t>
            </w:r>
          </w:p>
        </w:tc>
      </w:tr>
      <w:tr>
        <w:trPr>
          <w:trHeight w:val="300"/>
          <w:jc w:val="center"/>
        </w:trPr>
        <w:tc>
          <w:tcPr>
            <w:tcW w:w="1826" w:type="dxa"/>
            <w:tcBorders>
              <w:top w:val="nil"/>
              <w:left w:val="single" w:sz="4" w:space="0" w:color="auto"/>
              <w:bottom w:val="single" w:sz="4" w:space="0" w:color="auto"/>
              <w:right w:val="single" w:sz="4" w:space="0" w:color="auto"/>
            </w:tcBorders>
            <w:shd w:val="clear" w:color="auto" w:fill="auto"/>
            <w:noWrap/>
            <w:vAlign w:val="center"/>
            <w:hideMark/>
          </w:tcPr>
          <w:p>
            <w:pPr>
              <w:rPr>
                <w:rFonts w:cs="Calibri"/>
                <w:color w:val="000000"/>
              </w:rPr>
            </w:pPr>
            <w:r>
              <w:rPr>
                <w:rFonts w:cs="Calibri"/>
                <w:color w:val="000000"/>
              </w:rPr>
              <w:t>Débit horaire moyen</w:t>
            </w:r>
          </w:p>
        </w:tc>
        <w:tc>
          <w:tcPr>
            <w:tcW w:w="908" w:type="dxa"/>
            <w:tcBorders>
              <w:top w:val="single" w:sz="4" w:space="0" w:color="auto"/>
              <w:left w:val="nil"/>
              <w:bottom w:val="single" w:sz="4" w:space="0" w:color="auto"/>
              <w:right w:val="single" w:sz="4" w:space="0" w:color="auto"/>
            </w:tcBorders>
            <w:vAlign w:val="center"/>
          </w:tcPr>
          <w:p>
            <w:pPr>
              <w:jc w:val="center"/>
              <w:rPr>
                <w:rFonts w:cs="Calibri"/>
                <w:color w:val="000000"/>
              </w:rPr>
            </w:pPr>
            <w:r>
              <w:rPr>
                <w:rFonts w:cs="Calibri"/>
                <w:color w:val="000000"/>
              </w:rPr>
              <w:t>m</w:t>
            </w:r>
            <w:r>
              <w:rPr>
                <w:rFonts w:cs="Calibri"/>
                <w:color w:val="000000"/>
                <w:vertAlign w:val="superscript"/>
              </w:rPr>
              <w:t>3</w:t>
            </w:r>
            <w:r>
              <w:rPr>
                <w:rFonts w:cs="Calibri"/>
                <w:color w:val="000000"/>
              </w:rPr>
              <w:t>/h</w:t>
            </w:r>
          </w:p>
        </w:tc>
        <w:tc>
          <w:tcPr>
            <w:tcW w:w="1762" w:type="dxa"/>
            <w:tcBorders>
              <w:top w:val="nil"/>
              <w:left w:val="single" w:sz="4" w:space="0" w:color="auto"/>
              <w:bottom w:val="single" w:sz="4" w:space="0" w:color="auto"/>
              <w:right w:val="single" w:sz="4" w:space="0" w:color="auto"/>
            </w:tcBorders>
            <w:vAlign w:val="center"/>
          </w:tcPr>
          <w:p>
            <w:pPr>
              <w:jc w:val="center"/>
              <w:rPr>
                <w:rFonts w:cs="Calibri"/>
                <w:color w:val="000000"/>
              </w:rPr>
            </w:pPr>
            <w:r>
              <w:rPr>
                <w:rFonts w:cs="Calibri"/>
                <w:color w:val="000000"/>
              </w:rPr>
              <w:t>58</w:t>
            </w:r>
          </w:p>
        </w:tc>
        <w:tc>
          <w:tcPr>
            <w:tcW w:w="1587" w:type="dxa"/>
            <w:tcBorders>
              <w:top w:val="nil"/>
              <w:left w:val="single" w:sz="4" w:space="0" w:color="auto"/>
              <w:bottom w:val="single" w:sz="4" w:space="0" w:color="auto"/>
              <w:right w:val="single" w:sz="4" w:space="0" w:color="auto"/>
            </w:tcBorders>
            <w:shd w:val="clear" w:color="auto" w:fill="auto"/>
            <w:noWrap/>
            <w:vAlign w:val="center"/>
            <w:hideMark/>
          </w:tcPr>
          <w:p>
            <w:pPr>
              <w:jc w:val="center"/>
              <w:rPr>
                <w:rFonts w:cs="Calibri"/>
                <w:color w:val="000000"/>
              </w:rPr>
            </w:pPr>
            <w:r>
              <w:rPr>
                <w:rFonts w:cs="Calibri"/>
                <w:color w:val="000000"/>
              </w:rPr>
              <w:t>61,8</w:t>
            </w:r>
          </w:p>
        </w:tc>
        <w:tc>
          <w:tcPr>
            <w:tcW w:w="1379" w:type="dxa"/>
            <w:tcBorders>
              <w:top w:val="single" w:sz="4" w:space="0" w:color="auto"/>
              <w:left w:val="nil"/>
              <w:bottom w:val="single" w:sz="4" w:space="0" w:color="auto"/>
              <w:right w:val="nil"/>
            </w:tcBorders>
            <w:vAlign w:val="center"/>
          </w:tcPr>
          <w:p>
            <w:pPr>
              <w:jc w:val="center"/>
              <w:rPr>
                <w:rFonts w:cs="Calibri"/>
                <w:color w:val="000000"/>
              </w:rPr>
            </w:pPr>
            <w:r>
              <w:rPr>
                <w:rFonts w:cs="Calibri"/>
                <w:color w:val="000000"/>
              </w:rPr>
              <w:t>64,4</w:t>
            </w:r>
          </w:p>
        </w:tc>
        <w:tc>
          <w:tcPr>
            <w:tcW w:w="1504" w:type="dxa"/>
            <w:tcBorders>
              <w:top w:val="nil"/>
              <w:left w:val="single" w:sz="4" w:space="0" w:color="auto"/>
              <w:bottom w:val="single" w:sz="4" w:space="0" w:color="auto"/>
              <w:right w:val="single" w:sz="4" w:space="0" w:color="auto"/>
            </w:tcBorders>
            <w:shd w:val="clear" w:color="auto" w:fill="auto"/>
            <w:noWrap/>
            <w:vAlign w:val="center"/>
            <w:hideMark/>
          </w:tcPr>
          <w:p>
            <w:pPr>
              <w:jc w:val="center"/>
              <w:rPr>
                <w:rFonts w:cs="Calibri"/>
                <w:color w:val="000000"/>
              </w:rPr>
            </w:pPr>
            <w:r>
              <w:rPr>
                <w:rFonts w:cs="Calibri"/>
                <w:color w:val="000000"/>
              </w:rPr>
              <w:t>74</w:t>
            </w:r>
          </w:p>
        </w:tc>
      </w:tr>
      <w:tr>
        <w:trPr>
          <w:trHeight w:val="300"/>
          <w:jc w:val="center"/>
        </w:trPr>
        <w:tc>
          <w:tcPr>
            <w:tcW w:w="1826" w:type="dxa"/>
            <w:tcBorders>
              <w:top w:val="nil"/>
              <w:left w:val="single" w:sz="4" w:space="0" w:color="auto"/>
              <w:bottom w:val="single" w:sz="4" w:space="0" w:color="auto"/>
              <w:right w:val="single" w:sz="4" w:space="0" w:color="auto"/>
            </w:tcBorders>
            <w:shd w:val="clear" w:color="auto" w:fill="auto"/>
            <w:vAlign w:val="center"/>
            <w:hideMark/>
          </w:tcPr>
          <w:p>
            <w:pPr>
              <w:rPr>
                <w:rFonts w:cs="Calibri"/>
                <w:color w:val="000000"/>
              </w:rPr>
            </w:pPr>
            <w:r>
              <w:rPr>
                <w:rFonts w:cs="Calibri"/>
                <w:color w:val="000000"/>
              </w:rPr>
              <w:t>Débit de pointe horaire</w:t>
            </w:r>
          </w:p>
        </w:tc>
        <w:tc>
          <w:tcPr>
            <w:tcW w:w="908" w:type="dxa"/>
            <w:tcBorders>
              <w:top w:val="single" w:sz="4" w:space="0" w:color="auto"/>
              <w:left w:val="nil"/>
              <w:bottom w:val="single" w:sz="4" w:space="0" w:color="auto"/>
              <w:right w:val="single" w:sz="4" w:space="0" w:color="auto"/>
            </w:tcBorders>
            <w:vAlign w:val="center"/>
          </w:tcPr>
          <w:p>
            <w:pPr>
              <w:jc w:val="center"/>
              <w:rPr>
                <w:rFonts w:cs="Calibri"/>
                <w:color w:val="000000"/>
              </w:rPr>
            </w:pPr>
            <w:r>
              <w:rPr>
                <w:rFonts w:cs="Calibri"/>
                <w:color w:val="000000"/>
              </w:rPr>
              <w:t>m</w:t>
            </w:r>
            <w:r>
              <w:rPr>
                <w:rFonts w:cs="Calibri"/>
                <w:color w:val="000000"/>
                <w:vertAlign w:val="superscript"/>
              </w:rPr>
              <w:t>3</w:t>
            </w:r>
            <w:r>
              <w:rPr>
                <w:rFonts w:cs="Calibri"/>
                <w:color w:val="000000"/>
              </w:rPr>
              <w:t>/h</w:t>
            </w:r>
          </w:p>
        </w:tc>
        <w:tc>
          <w:tcPr>
            <w:tcW w:w="1762" w:type="dxa"/>
            <w:tcBorders>
              <w:top w:val="nil"/>
              <w:left w:val="single" w:sz="4" w:space="0" w:color="auto"/>
              <w:bottom w:val="single" w:sz="4" w:space="0" w:color="auto"/>
              <w:right w:val="single" w:sz="4" w:space="0" w:color="auto"/>
            </w:tcBorders>
            <w:vAlign w:val="center"/>
          </w:tcPr>
          <w:p>
            <w:pPr>
              <w:jc w:val="center"/>
              <w:rPr>
                <w:rFonts w:cs="Calibri"/>
                <w:color w:val="000000"/>
              </w:rPr>
            </w:pPr>
            <w:r>
              <w:rPr>
                <w:rFonts w:cs="Calibri"/>
                <w:color w:val="000000"/>
              </w:rPr>
              <w:t>150</w:t>
            </w:r>
          </w:p>
        </w:tc>
        <w:tc>
          <w:tcPr>
            <w:tcW w:w="1587" w:type="dxa"/>
            <w:tcBorders>
              <w:top w:val="nil"/>
              <w:left w:val="single" w:sz="4" w:space="0" w:color="auto"/>
              <w:bottom w:val="single" w:sz="4" w:space="0" w:color="auto"/>
              <w:right w:val="single" w:sz="4" w:space="0" w:color="auto"/>
            </w:tcBorders>
            <w:shd w:val="clear" w:color="auto" w:fill="auto"/>
            <w:noWrap/>
            <w:vAlign w:val="center"/>
            <w:hideMark/>
          </w:tcPr>
          <w:p>
            <w:pPr>
              <w:jc w:val="center"/>
              <w:rPr>
                <w:rFonts w:cs="Calibri"/>
                <w:color w:val="000000"/>
              </w:rPr>
            </w:pPr>
            <w:r>
              <w:rPr>
                <w:rFonts w:cs="Calibri"/>
                <w:color w:val="000000"/>
              </w:rPr>
              <w:t>112,3</w:t>
            </w:r>
          </w:p>
        </w:tc>
        <w:tc>
          <w:tcPr>
            <w:tcW w:w="1379" w:type="dxa"/>
            <w:tcBorders>
              <w:top w:val="single" w:sz="4" w:space="0" w:color="auto"/>
              <w:left w:val="nil"/>
              <w:bottom w:val="single" w:sz="4" w:space="0" w:color="auto"/>
              <w:right w:val="nil"/>
            </w:tcBorders>
            <w:vAlign w:val="center"/>
          </w:tcPr>
          <w:p>
            <w:pPr>
              <w:jc w:val="center"/>
              <w:rPr>
                <w:rFonts w:cs="Calibri"/>
                <w:color w:val="000000"/>
              </w:rPr>
            </w:pPr>
            <w:r>
              <w:rPr>
                <w:rFonts w:cs="Calibri"/>
                <w:color w:val="000000"/>
              </w:rPr>
              <w:t>116,7</w:t>
            </w:r>
          </w:p>
        </w:tc>
        <w:tc>
          <w:tcPr>
            <w:tcW w:w="1504" w:type="dxa"/>
            <w:tcBorders>
              <w:top w:val="nil"/>
              <w:left w:val="single" w:sz="4" w:space="0" w:color="auto"/>
              <w:bottom w:val="single" w:sz="4" w:space="0" w:color="auto"/>
              <w:right w:val="single" w:sz="4" w:space="0" w:color="auto"/>
            </w:tcBorders>
            <w:shd w:val="clear" w:color="auto" w:fill="auto"/>
            <w:noWrap/>
            <w:vAlign w:val="center"/>
            <w:hideMark/>
          </w:tcPr>
          <w:p>
            <w:pPr>
              <w:jc w:val="center"/>
              <w:rPr>
                <w:rFonts w:cs="Calibri"/>
                <w:color w:val="000000"/>
              </w:rPr>
            </w:pPr>
            <w:r>
              <w:rPr>
                <w:rFonts w:cs="Calibri"/>
                <w:color w:val="000000"/>
              </w:rPr>
              <w:t>132,6</w:t>
            </w:r>
          </w:p>
        </w:tc>
      </w:tr>
      <w:tr>
        <w:trPr>
          <w:trHeight w:val="300"/>
          <w:jc w:val="center"/>
        </w:trPr>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pPr>
              <w:rPr>
                <w:rFonts w:cs="Calibri"/>
                <w:color w:val="000000"/>
              </w:rPr>
            </w:pPr>
            <w:r>
              <w:rPr>
                <w:rFonts w:cs="Calibri"/>
                <w:color w:val="000000"/>
              </w:rPr>
              <w:t>DBO</w:t>
            </w:r>
            <w:r>
              <w:rPr>
                <w:rFonts w:cs="Calibri"/>
                <w:color w:val="000000"/>
                <w:vertAlign w:val="subscript"/>
              </w:rPr>
              <w:t xml:space="preserve">5 </w:t>
            </w:r>
          </w:p>
        </w:tc>
        <w:tc>
          <w:tcPr>
            <w:tcW w:w="908" w:type="dxa"/>
            <w:tcBorders>
              <w:top w:val="single" w:sz="4" w:space="0" w:color="auto"/>
              <w:left w:val="nil"/>
              <w:bottom w:val="single" w:sz="4" w:space="0" w:color="auto"/>
              <w:right w:val="single" w:sz="4" w:space="0" w:color="auto"/>
            </w:tcBorders>
            <w:vAlign w:val="center"/>
          </w:tcPr>
          <w:p>
            <w:pPr>
              <w:jc w:val="center"/>
              <w:rPr>
                <w:rFonts w:cs="Calibri"/>
                <w:color w:val="000000"/>
              </w:rPr>
            </w:pPr>
            <w:r>
              <w:rPr>
                <w:rFonts w:cs="Calibri"/>
                <w:color w:val="000000"/>
              </w:rPr>
              <w:t>kg/jour</w:t>
            </w:r>
          </w:p>
        </w:tc>
        <w:tc>
          <w:tcPr>
            <w:tcW w:w="1762" w:type="dxa"/>
            <w:tcBorders>
              <w:top w:val="single" w:sz="4" w:space="0" w:color="auto"/>
              <w:left w:val="single" w:sz="4" w:space="0" w:color="auto"/>
              <w:bottom w:val="single" w:sz="4" w:space="0" w:color="auto"/>
              <w:right w:val="single" w:sz="4" w:space="0" w:color="auto"/>
            </w:tcBorders>
            <w:vAlign w:val="center"/>
          </w:tcPr>
          <w:p>
            <w:pPr>
              <w:jc w:val="center"/>
              <w:rPr>
                <w:rFonts w:cs="Calibri"/>
                <w:color w:val="000000"/>
              </w:rPr>
            </w:pPr>
            <w:r>
              <w:rPr>
                <w:rFonts w:cs="Calibri"/>
                <w:color w:val="000000"/>
              </w:rPr>
              <w:t>420</w:t>
            </w:r>
          </w:p>
        </w:tc>
        <w:tc>
          <w:tcPr>
            <w:tcW w:w="1587" w:type="dxa"/>
            <w:tcBorders>
              <w:top w:val="single" w:sz="4" w:space="0" w:color="auto"/>
              <w:left w:val="single" w:sz="4" w:space="0" w:color="auto"/>
              <w:bottom w:val="single" w:sz="4" w:space="0" w:color="auto"/>
              <w:right w:val="single" w:sz="4" w:space="0" w:color="auto"/>
            </w:tcBorders>
            <w:shd w:val="clear" w:color="auto" w:fill="auto"/>
            <w:noWrap/>
            <w:vAlign w:val="center"/>
          </w:tcPr>
          <w:p>
            <w:pPr>
              <w:jc w:val="center"/>
              <w:rPr>
                <w:rFonts w:cs="Calibri"/>
                <w:color w:val="000000"/>
              </w:rPr>
            </w:pPr>
            <w:r>
              <w:rPr>
                <w:rFonts w:cs="Calibri"/>
                <w:color w:val="000000"/>
              </w:rPr>
              <w:t>610</w:t>
            </w:r>
          </w:p>
        </w:tc>
        <w:tc>
          <w:tcPr>
            <w:tcW w:w="1379" w:type="dxa"/>
            <w:tcBorders>
              <w:top w:val="single" w:sz="4" w:space="0" w:color="auto"/>
              <w:left w:val="nil"/>
              <w:bottom w:val="single" w:sz="4" w:space="0" w:color="auto"/>
              <w:right w:val="nil"/>
            </w:tcBorders>
            <w:vAlign w:val="center"/>
          </w:tcPr>
          <w:p>
            <w:pPr>
              <w:jc w:val="center"/>
              <w:rPr>
                <w:rFonts w:cs="Calibri"/>
                <w:color w:val="000000"/>
              </w:rPr>
            </w:pPr>
            <w:r>
              <w:rPr>
                <w:rFonts w:cs="Calibri"/>
                <w:color w:val="000000"/>
              </w:rPr>
              <w:t>642</w:t>
            </w:r>
          </w:p>
        </w:tc>
        <w:tc>
          <w:tcPr>
            <w:tcW w:w="1504" w:type="dxa"/>
            <w:tcBorders>
              <w:top w:val="single" w:sz="4" w:space="0" w:color="auto"/>
              <w:left w:val="single" w:sz="4" w:space="0" w:color="auto"/>
              <w:bottom w:val="single" w:sz="4" w:space="0" w:color="auto"/>
              <w:right w:val="single" w:sz="4" w:space="0" w:color="auto"/>
            </w:tcBorders>
            <w:shd w:val="clear" w:color="auto" w:fill="auto"/>
            <w:noWrap/>
            <w:vAlign w:val="center"/>
          </w:tcPr>
          <w:p>
            <w:pPr>
              <w:jc w:val="center"/>
              <w:rPr>
                <w:rFonts w:cs="Calibri"/>
                <w:color w:val="000000"/>
              </w:rPr>
            </w:pPr>
            <w:r>
              <w:rPr>
                <w:rFonts w:cs="Calibri"/>
                <w:color w:val="000000"/>
              </w:rPr>
              <w:t>753</w:t>
            </w:r>
          </w:p>
        </w:tc>
      </w:tr>
    </w:tbl>
    <w:p>
      <w:pPr>
        <w:pStyle w:val="Lgende"/>
        <w:rPr>
          <w:szCs w:val="20"/>
        </w:rPr>
      </w:pPr>
      <w:bookmarkStart w:id="49" w:name="_Toc46480591"/>
      <w:r>
        <w:rPr>
          <w:szCs w:val="20"/>
        </w:rPr>
        <w:t xml:space="preserve">      Synthèse des charges hydrauliques et polluantes horizon 2025 et 2040</w:t>
      </w:r>
      <w:bookmarkEnd w:id="49"/>
    </w:p>
    <w:p>
      <w:pPr>
        <w:rPr>
          <w:b/>
        </w:rPr>
      </w:pPr>
      <w:r>
        <w:rPr>
          <w:b/>
        </w:rPr>
        <w:lastRenderedPageBreak/>
        <w:t>La capacité théorique de la station actuelle est donc insuffisante sur la charge hydraulique et sur la charge polluante.</w:t>
      </w:r>
    </w:p>
    <w:p>
      <w:pPr>
        <w:pStyle w:val="Titre3"/>
        <w:numPr>
          <w:ilvl w:val="0"/>
          <w:numId w:val="0"/>
        </w:numPr>
      </w:pPr>
      <w:bookmarkStart w:id="50" w:name="_Toc52811326"/>
      <w:bookmarkStart w:id="51" w:name="_Toc92353830"/>
      <w:r>
        <w:t>2.3.2. Réduction des eaux parasites</w:t>
      </w:r>
      <w:bookmarkEnd w:id="50"/>
      <w:bookmarkEnd w:id="51"/>
    </w:p>
    <w:p>
      <w:r>
        <w:t>Le programme de travaux réalisé suite au diagnostic du réseau d’assainissement et présenté ci-après permettra :</w:t>
      </w:r>
    </w:p>
    <w:p>
      <w:pPr>
        <w:pStyle w:val="Retrait20"/>
        <w:tabs>
          <w:tab w:val="clear" w:pos="928"/>
          <w:tab w:val="num" w:pos="1324"/>
        </w:tabs>
        <w:ind w:left="1304"/>
      </w:pPr>
      <w:r>
        <w:t>De diminuer les eaux parasites permanentes d’environ 50%.</w:t>
      </w:r>
    </w:p>
    <w:p>
      <w:pPr>
        <w:pStyle w:val="Retrait20"/>
        <w:tabs>
          <w:tab w:val="clear" w:pos="928"/>
          <w:tab w:val="num" w:pos="1324"/>
        </w:tabs>
        <w:ind w:left="1304"/>
      </w:pPr>
      <w:r>
        <w:t>De diminuer la surface active de 65% passant de 21 500m² à 14 000m²</w:t>
      </w:r>
    </w:p>
    <w:p>
      <w:r>
        <w:t>En considérant les volumes de 2016 à 2020 et en prenant en compte la suppression des eaux parasites avec les hypothèses ci-dessus, les charges hydrauliques de références sont les suivantes :</w:t>
      </w:r>
    </w:p>
    <w:p>
      <w:pPr>
        <w:pStyle w:val="Retrait20"/>
        <w:numPr>
          <w:ilvl w:val="0"/>
          <w:numId w:val="11"/>
        </w:numPr>
        <w:tabs>
          <w:tab w:val="clear" w:pos="928"/>
        </w:tabs>
        <w:ind w:left="964" w:hanging="284"/>
      </w:pPr>
      <w:r>
        <w:t>Volume moyen journalier : 704m</w:t>
      </w:r>
      <w:r>
        <w:rPr>
          <w:vertAlign w:val="superscript"/>
        </w:rPr>
        <w:t>3</w:t>
      </w:r>
      <w:r>
        <w:t xml:space="preserve"> soit 50% de la capacité de la station d’épuration ;</w:t>
      </w:r>
    </w:p>
    <w:p>
      <w:pPr>
        <w:pStyle w:val="Retrait20"/>
        <w:numPr>
          <w:ilvl w:val="0"/>
          <w:numId w:val="11"/>
        </w:numPr>
        <w:tabs>
          <w:tab w:val="clear" w:pos="928"/>
        </w:tabs>
        <w:ind w:left="964" w:hanging="284"/>
      </w:pPr>
      <w:r>
        <w:t>Percentile 95% : 956m</w:t>
      </w:r>
      <w:r>
        <w:rPr>
          <w:vertAlign w:val="superscript"/>
        </w:rPr>
        <w:t>3</w:t>
      </w:r>
      <w:r>
        <w:t>  (95% du temps le volume journalier est inférieur à 956m</w:t>
      </w:r>
      <w:r>
        <w:rPr>
          <w:vertAlign w:val="superscript"/>
        </w:rPr>
        <w:t>3</w:t>
      </w:r>
      <w:r>
        <w:t xml:space="preserve">) ; </w:t>
      </w:r>
    </w:p>
    <w:p>
      <w:pPr>
        <w:pStyle w:val="Retrait20"/>
        <w:numPr>
          <w:ilvl w:val="0"/>
          <w:numId w:val="11"/>
        </w:numPr>
        <w:tabs>
          <w:tab w:val="clear" w:pos="928"/>
        </w:tabs>
        <w:ind w:left="964" w:hanging="284"/>
      </w:pPr>
      <w:r>
        <w:t>Nombre de jour total de dépassement de la capacité nominale : 18 ;</w:t>
      </w:r>
    </w:p>
    <w:p>
      <w:pPr>
        <w:rPr>
          <w:highlight w:val="yellow"/>
        </w:rPr>
      </w:pPr>
      <w:r>
        <w:rPr>
          <w:noProof/>
        </w:rPr>
        <w:drawing>
          <wp:inline distT="0" distB="0" distL="0" distR="0">
            <wp:extent cx="5972810" cy="2690495"/>
            <wp:effectExtent l="19050" t="19050" r="27940" b="14605"/>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972810" cy="2690495"/>
                    </a:xfrm>
                    <a:prstGeom prst="rect">
                      <a:avLst/>
                    </a:prstGeom>
                    <a:ln>
                      <a:solidFill>
                        <a:schemeClr val="tx1"/>
                      </a:solidFill>
                    </a:ln>
                  </pic:spPr>
                </pic:pic>
              </a:graphicData>
            </a:graphic>
          </wp:inline>
        </w:drawing>
      </w:r>
      <w:r>
        <w:rPr>
          <w:noProof/>
        </w:rPr>
        <w:t xml:space="preserve"> </w:t>
      </w:r>
    </w:p>
    <w:p>
      <w:pPr>
        <w:pStyle w:val="Lgende"/>
        <w:rPr>
          <w:szCs w:val="20"/>
        </w:rPr>
      </w:pPr>
      <w:bookmarkStart w:id="52" w:name="_Toc485127377"/>
      <w:bookmarkStart w:id="53" w:name="_Toc432156829"/>
      <w:bookmarkStart w:id="54" w:name="_Toc520390655"/>
      <w:bookmarkStart w:id="55" w:name="_Toc53492784"/>
      <w:r>
        <w:rPr>
          <w:szCs w:val="20"/>
        </w:rPr>
        <w:t xml:space="preserve">Charges hydrauliques reçues entrée station </w:t>
      </w:r>
      <w:bookmarkEnd w:id="52"/>
      <w:bookmarkEnd w:id="53"/>
      <w:bookmarkEnd w:id="54"/>
      <w:r>
        <w:rPr>
          <w:szCs w:val="20"/>
        </w:rPr>
        <w:t>entre le 01/01/2016 et le 31/12/20</w:t>
      </w:r>
      <w:bookmarkEnd w:id="55"/>
      <w:r>
        <w:rPr>
          <w:szCs w:val="20"/>
        </w:rPr>
        <w:t>20 en considérant la suppression de eaux parasites</w:t>
      </w:r>
    </w:p>
    <w:p>
      <w:pPr>
        <w:rPr>
          <w:highlight w:val="yellow"/>
        </w:rPr>
      </w:pPr>
    </w:p>
    <w:p>
      <w:pPr>
        <w:jc w:val="center"/>
      </w:pPr>
      <w:r>
        <w:rPr>
          <w:noProof/>
        </w:rPr>
        <w:drawing>
          <wp:inline distT="0" distB="0" distL="0" distR="0">
            <wp:extent cx="4047214" cy="2223924"/>
            <wp:effectExtent l="19050" t="19050" r="10795" b="24130"/>
            <wp:docPr id="224" name="Imag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4047000" cy="2223807"/>
                    </a:xfrm>
                    <a:prstGeom prst="rect">
                      <a:avLst/>
                    </a:prstGeom>
                    <a:ln>
                      <a:solidFill>
                        <a:schemeClr val="tx1"/>
                      </a:solidFill>
                    </a:ln>
                  </pic:spPr>
                </pic:pic>
              </a:graphicData>
            </a:graphic>
          </wp:inline>
        </w:drawing>
      </w:r>
      <w:r>
        <w:rPr>
          <w:noProof/>
        </w:rPr>
        <w:t xml:space="preserve"> </w:t>
      </w:r>
    </w:p>
    <w:p>
      <w:pPr>
        <w:rPr>
          <w:b/>
        </w:rPr>
      </w:pPr>
      <w:r>
        <w:rPr>
          <w:b/>
        </w:rPr>
        <w:t>Dans la situation actuelle mais en supprimant une partie des eaux parasites, la station d’épuration est correctement dimensionnée.</w:t>
      </w:r>
    </w:p>
    <w:p>
      <w:pPr>
        <w:pStyle w:val="Titre3"/>
        <w:numPr>
          <w:ilvl w:val="0"/>
          <w:numId w:val="0"/>
        </w:numPr>
      </w:pPr>
      <w:bookmarkStart w:id="56" w:name="_Toc52811327"/>
      <w:bookmarkStart w:id="57" w:name="_Toc92353831"/>
      <w:r>
        <w:t>2.3.3. Bilan des charges futures 2055 collectées vers la STEU après suppression des eaux parasites</w:t>
      </w:r>
      <w:bookmarkEnd w:id="56"/>
      <w:bookmarkEnd w:id="57"/>
    </w:p>
    <w:p>
      <w:pPr>
        <w:spacing w:before="0"/>
      </w:pPr>
      <w:r>
        <w:t xml:space="preserve">Comme évoqué ci-dessus malgré la diminution des eaux parasites, la capacité de la station d’épuration est atteinte. Le schéma intercommunal prévoit la construction d’une seconde file de traitement (passage de 7 000 EH à 14 000 EH) après 2027. Concernant la date des travaux, celle-ci apparait trop tardive pour la mise en service du nouvel ouvrage. Concernant la capacité prévue celle-ci semble correctement évaluée. Compte tenu des évolutions des charges depuis 2020 il est nécessaire de faire un suivi des charges </w:t>
      </w:r>
      <w:r>
        <w:lastRenderedPageBreak/>
        <w:t>entrantes avec une fréquence plus importante que le minimum réglementaire. Selon le résultat de ce suivi sur 2021 et 2022 l’extension de la filière devra être programmé et effective pour 2025 au plus tard.</w:t>
      </w:r>
    </w:p>
    <w:p>
      <w:pPr>
        <w:spacing w:before="0"/>
      </w:pPr>
    </w:p>
    <w:p>
      <w:pPr>
        <w:spacing w:before="0"/>
      </w:pPr>
      <w:r>
        <w:t>A l’horizon 2055 soit 30 ans après la mise en service de cette nouvelle station (durée de vie usuelle pour une station de type boues activée), en prenant en compte l’évolution de la population en zone urbaine et à urbaniser (1,95%/an donnée PADD), le volume supplémentaire sera de 608m</w:t>
      </w:r>
      <w:r>
        <w:rPr>
          <w:vertAlign w:val="superscript"/>
        </w:rPr>
        <w:t>3</w:t>
      </w:r>
      <w:r>
        <w:t xml:space="preserve">/j*. </w:t>
      </w:r>
    </w:p>
    <w:p>
      <w:pPr>
        <w:spacing w:before="0"/>
        <w:rPr>
          <w:i/>
        </w:rPr>
      </w:pPr>
      <w:r>
        <w:rPr>
          <w:i/>
        </w:rPr>
        <w:t>*9823 habitants en 2055 soit 4 826 habitants de plus qu’aujourd’hui avec une consommation de 125l/j/ha.</w:t>
      </w:r>
    </w:p>
    <w:p>
      <w:r>
        <w:t>En prenant en compte la diminution des eaux parasites (déterminées sur la base des eaux parasites de la période 2016-2020) et une augmentation de la population à l’horizon 2055, les charges hydrauliques de références sont les suivantes :</w:t>
      </w:r>
    </w:p>
    <w:p>
      <w:pPr>
        <w:pStyle w:val="Retrait20"/>
        <w:numPr>
          <w:ilvl w:val="0"/>
          <w:numId w:val="11"/>
        </w:numPr>
        <w:tabs>
          <w:tab w:val="clear" w:pos="928"/>
        </w:tabs>
        <w:ind w:left="964" w:hanging="284"/>
      </w:pPr>
      <w:r>
        <w:t>Volume moyen journalier : 1311m</w:t>
      </w:r>
      <w:r>
        <w:rPr>
          <w:vertAlign w:val="superscript"/>
        </w:rPr>
        <w:t>3</w:t>
      </w:r>
      <w:r>
        <w:t>;</w:t>
      </w:r>
    </w:p>
    <w:p>
      <w:pPr>
        <w:pStyle w:val="Retrait20"/>
        <w:numPr>
          <w:ilvl w:val="0"/>
          <w:numId w:val="11"/>
        </w:numPr>
        <w:tabs>
          <w:tab w:val="clear" w:pos="928"/>
        </w:tabs>
        <w:ind w:left="964" w:hanging="284"/>
      </w:pPr>
      <w:r>
        <w:t>Percentile 95% : 1 564m</w:t>
      </w:r>
      <w:r>
        <w:rPr>
          <w:vertAlign w:val="superscript"/>
        </w:rPr>
        <w:t>3</w:t>
      </w:r>
      <w:r>
        <w:t xml:space="preserve">  soit 10 426 EH ; </w:t>
      </w:r>
    </w:p>
    <w:p>
      <w:pPr>
        <w:pStyle w:val="Retrait20"/>
        <w:numPr>
          <w:ilvl w:val="0"/>
          <w:numId w:val="0"/>
        </w:numPr>
        <w:ind w:left="964"/>
      </w:pPr>
    </w:p>
    <w:p>
      <w:pPr>
        <w:rPr>
          <w:highlight w:val="yellow"/>
        </w:rPr>
      </w:pPr>
      <w:r>
        <w:rPr>
          <w:noProof/>
        </w:rPr>
        <w:drawing>
          <wp:inline distT="0" distB="0" distL="0" distR="0">
            <wp:extent cx="5972810" cy="2869565"/>
            <wp:effectExtent l="19050" t="19050" r="27940" b="26035"/>
            <wp:docPr id="1346" name="Imag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972810" cy="2869565"/>
                    </a:xfrm>
                    <a:prstGeom prst="rect">
                      <a:avLst/>
                    </a:prstGeom>
                    <a:ln>
                      <a:solidFill>
                        <a:schemeClr val="tx1"/>
                      </a:solidFill>
                    </a:ln>
                  </pic:spPr>
                </pic:pic>
              </a:graphicData>
            </a:graphic>
          </wp:inline>
        </w:drawing>
      </w:r>
      <w:r>
        <w:rPr>
          <w:noProof/>
        </w:rPr>
        <w:t xml:space="preserve">  </w:t>
      </w:r>
    </w:p>
    <w:p>
      <w:pPr>
        <w:pStyle w:val="Lgende"/>
        <w:rPr>
          <w:szCs w:val="20"/>
        </w:rPr>
      </w:pPr>
      <w:r>
        <w:rPr>
          <w:szCs w:val="20"/>
        </w:rPr>
        <w:t>Reconstitution des charges hydrauliques reçues entrée station entre le 01/01/2016 et le 31/12/2020 en considérant la suppression de eaux parasites et l’augmentation de la population (à l’horizon 2055)</w:t>
      </w:r>
    </w:p>
    <w:p>
      <w:pPr>
        <w:rPr>
          <w:highlight w:val="yellow"/>
        </w:rPr>
      </w:pPr>
    </w:p>
    <w:p>
      <w:pPr>
        <w:jc w:val="center"/>
        <w:rPr>
          <w:highlight w:val="yellow"/>
        </w:rPr>
      </w:pPr>
      <w:r>
        <w:rPr>
          <w:noProof/>
        </w:rPr>
        <w:drawing>
          <wp:inline distT="0" distB="0" distL="0" distR="0">
            <wp:extent cx="3959749" cy="2346128"/>
            <wp:effectExtent l="19050" t="19050" r="22225" b="16510"/>
            <wp:docPr id="1349" name="Image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3963624" cy="2348424"/>
                    </a:xfrm>
                    <a:prstGeom prst="rect">
                      <a:avLst/>
                    </a:prstGeom>
                    <a:ln>
                      <a:solidFill>
                        <a:schemeClr val="tx1"/>
                      </a:solidFill>
                    </a:ln>
                  </pic:spPr>
                </pic:pic>
              </a:graphicData>
            </a:graphic>
          </wp:inline>
        </w:drawing>
      </w:r>
      <w:r>
        <w:rPr>
          <w:noProof/>
        </w:rPr>
        <w:t xml:space="preserve">  </w:t>
      </w:r>
    </w:p>
    <w:p>
      <w:pPr>
        <w:rPr>
          <w:b/>
        </w:rPr>
      </w:pPr>
      <w:r>
        <w:rPr>
          <w:b/>
        </w:rPr>
        <w:t>Dans la situation future, en supprimant une partie des eaux parasites, la future station d’épuration devrait être dimensionnée pour 11 000 EH pour la charge hydraulique afin de garantir que l’équipement soit en adéquation avec les charges à traiter sur toute sa période d’exploitation théorique (30 ans).</w:t>
      </w:r>
    </w:p>
    <w:p>
      <w:pPr>
        <w:rPr>
          <w:i/>
        </w:rPr>
      </w:pPr>
      <w:r>
        <w:rPr>
          <w:i/>
        </w:rPr>
        <w:t>Nota : l’hypothèse urbanistique ne prend pas en compte le développement de la zone Mitra située sur la commune de Saint-Gilles.</w:t>
      </w:r>
    </w:p>
    <w:p>
      <w:pPr>
        <w:spacing w:before="0"/>
        <w:jc w:val="left"/>
        <w:rPr>
          <w:b/>
          <w:smallCaps/>
          <w:color w:val="FFFFFF"/>
          <w:sz w:val="22"/>
        </w:rPr>
      </w:pPr>
    </w:p>
    <w:p>
      <w:pPr>
        <w:spacing w:before="0"/>
        <w:jc w:val="left"/>
        <w:rPr>
          <w:b/>
          <w:smallCaps/>
          <w:color w:val="FFFFFF"/>
          <w:sz w:val="22"/>
        </w:rPr>
      </w:pPr>
    </w:p>
    <w:p>
      <w:pPr>
        <w:pStyle w:val="Titre3"/>
        <w:numPr>
          <w:ilvl w:val="0"/>
          <w:numId w:val="0"/>
        </w:numPr>
      </w:pPr>
      <w:bookmarkStart w:id="58" w:name="_Toc92353832"/>
      <w:r>
        <w:lastRenderedPageBreak/>
        <w:t>2.3.4. Synthèse</w:t>
      </w:r>
      <w:bookmarkEnd w:id="58"/>
    </w:p>
    <w:p>
      <w:pPr>
        <w:rPr>
          <w:highlight w:val="yellow"/>
        </w:rPr>
      </w:pPr>
    </w:p>
    <w:tbl>
      <w:tblPr>
        <w:tblW w:w="9684" w:type="dxa"/>
        <w:tblInd w:w="57" w:type="dxa"/>
        <w:tblCellMar>
          <w:left w:w="70" w:type="dxa"/>
          <w:right w:w="70" w:type="dxa"/>
        </w:tblCellMar>
        <w:tblLook w:val="04A0" w:firstRow="1" w:lastRow="0" w:firstColumn="1" w:lastColumn="0" w:noHBand="0" w:noVBand="1"/>
      </w:tblPr>
      <w:tblGrid>
        <w:gridCol w:w="2707"/>
        <w:gridCol w:w="1559"/>
        <w:gridCol w:w="1134"/>
        <w:gridCol w:w="1984"/>
        <w:gridCol w:w="2300"/>
      </w:tblGrid>
      <w:tr>
        <w:trPr>
          <w:trHeight w:val="780"/>
        </w:trPr>
        <w:tc>
          <w:tcPr>
            <w:tcW w:w="2707" w:type="dxa"/>
            <w:tcBorders>
              <w:top w:val="nil"/>
              <w:left w:val="nil"/>
              <w:bottom w:val="nil"/>
              <w:right w:val="nil"/>
            </w:tcBorders>
            <w:shd w:val="clear" w:color="auto" w:fill="auto"/>
            <w:noWrap/>
            <w:vAlign w:val="center"/>
            <w:hideMark/>
          </w:tcPr>
          <w:p>
            <w:pPr>
              <w:spacing w:before="0"/>
              <w:jc w:val="left"/>
              <w:rPr>
                <w:rFonts w:cs="Calibri"/>
                <w:color w:val="000000"/>
                <w:highlight w:val="yellow"/>
              </w:rPr>
            </w:pPr>
          </w:p>
        </w:tc>
        <w:tc>
          <w:tcPr>
            <w:tcW w:w="1559" w:type="dxa"/>
            <w:tcBorders>
              <w:top w:val="single" w:sz="8" w:space="0" w:color="auto"/>
              <w:left w:val="single" w:sz="8" w:space="0" w:color="auto"/>
              <w:bottom w:val="single" w:sz="4" w:space="0" w:color="auto"/>
              <w:right w:val="single" w:sz="8" w:space="0" w:color="auto"/>
            </w:tcBorders>
            <w:shd w:val="clear" w:color="000000" w:fill="95B3D7" w:themeFill="accent1" w:themeFillTint="99"/>
            <w:vAlign w:val="center"/>
            <w:hideMark/>
          </w:tcPr>
          <w:p>
            <w:pPr>
              <w:spacing w:before="0"/>
              <w:jc w:val="center"/>
              <w:rPr>
                <w:rFonts w:cs="Calibri"/>
                <w:b/>
                <w:bCs/>
                <w:color w:val="FFFFFF"/>
              </w:rPr>
            </w:pPr>
            <w:r>
              <w:rPr>
                <w:rFonts w:cs="Calibri"/>
                <w:b/>
                <w:bCs/>
                <w:color w:val="FFFFFF"/>
              </w:rPr>
              <w:t>Valeurs de dimensionnement</w:t>
            </w:r>
          </w:p>
        </w:tc>
        <w:tc>
          <w:tcPr>
            <w:tcW w:w="1134" w:type="dxa"/>
            <w:tcBorders>
              <w:top w:val="single" w:sz="8" w:space="0" w:color="auto"/>
              <w:left w:val="nil"/>
              <w:bottom w:val="single" w:sz="4" w:space="0" w:color="auto"/>
              <w:right w:val="single" w:sz="8" w:space="0" w:color="auto"/>
            </w:tcBorders>
            <w:shd w:val="clear" w:color="000000" w:fill="95B3D7" w:themeFill="accent1" w:themeFillTint="99"/>
            <w:vAlign w:val="center"/>
            <w:hideMark/>
          </w:tcPr>
          <w:p>
            <w:pPr>
              <w:spacing w:before="0"/>
              <w:jc w:val="center"/>
              <w:rPr>
                <w:rFonts w:cs="Calibri"/>
                <w:b/>
                <w:bCs/>
                <w:color w:val="FFFFFF"/>
              </w:rPr>
            </w:pPr>
            <w:r>
              <w:rPr>
                <w:rFonts w:cs="Calibri"/>
                <w:b/>
                <w:bCs/>
                <w:color w:val="FFFFFF"/>
              </w:rPr>
              <w:t>Situation actuelle</w:t>
            </w:r>
          </w:p>
        </w:tc>
        <w:tc>
          <w:tcPr>
            <w:tcW w:w="1984" w:type="dxa"/>
            <w:tcBorders>
              <w:top w:val="single" w:sz="8" w:space="0" w:color="auto"/>
              <w:left w:val="nil"/>
              <w:bottom w:val="single" w:sz="4" w:space="0" w:color="auto"/>
              <w:right w:val="single" w:sz="8" w:space="0" w:color="auto"/>
            </w:tcBorders>
            <w:shd w:val="clear" w:color="000000" w:fill="95B3D7" w:themeFill="accent1" w:themeFillTint="99"/>
            <w:vAlign w:val="center"/>
            <w:hideMark/>
          </w:tcPr>
          <w:p>
            <w:pPr>
              <w:spacing w:before="0"/>
              <w:jc w:val="center"/>
              <w:rPr>
                <w:rFonts w:cs="Calibri"/>
                <w:b/>
                <w:bCs/>
                <w:color w:val="FFFFFF"/>
              </w:rPr>
            </w:pPr>
            <w:r>
              <w:rPr>
                <w:rFonts w:cs="Calibri"/>
                <w:b/>
                <w:bCs/>
                <w:color w:val="FFFFFF"/>
              </w:rPr>
              <w:t>Situation actuelle – suppression des eaux parasites</w:t>
            </w:r>
          </w:p>
        </w:tc>
        <w:tc>
          <w:tcPr>
            <w:tcW w:w="2300" w:type="dxa"/>
            <w:tcBorders>
              <w:top w:val="single" w:sz="8" w:space="0" w:color="auto"/>
              <w:left w:val="nil"/>
              <w:bottom w:val="single" w:sz="4" w:space="0" w:color="auto"/>
              <w:right w:val="single" w:sz="8" w:space="0" w:color="auto"/>
            </w:tcBorders>
            <w:shd w:val="clear" w:color="000000" w:fill="95B3D7" w:themeFill="accent1" w:themeFillTint="99"/>
            <w:vAlign w:val="center"/>
            <w:hideMark/>
          </w:tcPr>
          <w:p>
            <w:pPr>
              <w:spacing w:before="0"/>
              <w:jc w:val="center"/>
              <w:rPr>
                <w:rFonts w:cs="Calibri"/>
                <w:b/>
                <w:bCs/>
                <w:color w:val="FFFFFF"/>
              </w:rPr>
            </w:pPr>
            <w:r>
              <w:rPr>
                <w:rFonts w:cs="Calibri"/>
                <w:b/>
                <w:bCs/>
                <w:color w:val="FFFFFF"/>
              </w:rPr>
              <w:t>Situation future – suppression des eaux parasites (2055)</w:t>
            </w:r>
          </w:p>
        </w:tc>
      </w:tr>
      <w:tr>
        <w:trPr>
          <w:trHeight w:val="300"/>
        </w:trPr>
        <w:tc>
          <w:tcPr>
            <w:tcW w:w="270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pPr>
              <w:rPr>
                <w:rFonts w:cs="Calibri"/>
                <w:color w:val="000000"/>
              </w:rPr>
            </w:pPr>
            <w:r>
              <w:rPr>
                <w:rFonts w:cs="Calibri"/>
                <w:color w:val="000000"/>
              </w:rPr>
              <w:t xml:space="preserve">Capacité de la STEU EH charge hydraulique </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pPr>
              <w:jc w:val="center"/>
              <w:rPr>
                <w:rFonts w:cs="Calibri"/>
                <w:color w:val="000000"/>
              </w:rPr>
            </w:pPr>
            <w:r>
              <w:rPr>
                <w:rFonts w:cs="Calibri"/>
                <w:color w:val="000000"/>
              </w:rPr>
              <w:t>9 333</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pPr>
              <w:jc w:val="center"/>
              <w:rPr>
                <w:rFonts w:cs="Calibri"/>
                <w:color w:val="000000"/>
              </w:rPr>
            </w:pPr>
            <w:r>
              <w:rPr>
                <w:rFonts w:cs="Calibri"/>
                <w:color w:val="000000"/>
              </w:rPr>
              <w:t>9 887</w:t>
            </w:r>
          </w:p>
        </w:tc>
        <w:tc>
          <w:tcPr>
            <w:tcW w:w="1984" w:type="dxa"/>
            <w:tcBorders>
              <w:top w:val="single" w:sz="4" w:space="0" w:color="auto"/>
              <w:left w:val="nil"/>
              <w:bottom w:val="single" w:sz="4" w:space="0" w:color="auto"/>
              <w:right w:val="single" w:sz="4" w:space="0" w:color="auto"/>
            </w:tcBorders>
            <w:shd w:val="clear" w:color="auto" w:fill="auto"/>
            <w:noWrap/>
            <w:vAlign w:val="center"/>
            <w:hideMark/>
          </w:tcPr>
          <w:p>
            <w:pPr>
              <w:jc w:val="center"/>
              <w:rPr>
                <w:rFonts w:cs="Calibri"/>
                <w:color w:val="000000"/>
              </w:rPr>
            </w:pPr>
            <w:r>
              <w:rPr>
                <w:rFonts w:cs="Calibri"/>
                <w:color w:val="000000"/>
              </w:rPr>
              <w:t>6 373</w:t>
            </w:r>
          </w:p>
        </w:tc>
        <w:tc>
          <w:tcPr>
            <w:tcW w:w="2300" w:type="dxa"/>
            <w:tcBorders>
              <w:top w:val="single" w:sz="4" w:space="0" w:color="auto"/>
              <w:left w:val="nil"/>
              <w:bottom w:val="single" w:sz="4" w:space="0" w:color="auto"/>
              <w:right w:val="single" w:sz="4" w:space="0" w:color="auto"/>
            </w:tcBorders>
            <w:shd w:val="clear" w:color="auto" w:fill="auto"/>
            <w:noWrap/>
            <w:vAlign w:val="center"/>
            <w:hideMark/>
          </w:tcPr>
          <w:p>
            <w:pPr>
              <w:jc w:val="center"/>
              <w:rPr>
                <w:rFonts w:cs="Calibri"/>
                <w:color w:val="000000"/>
              </w:rPr>
            </w:pPr>
            <w:r>
              <w:rPr>
                <w:rFonts w:cs="Calibri"/>
                <w:color w:val="000000"/>
              </w:rPr>
              <w:t>10 427</w:t>
            </w:r>
          </w:p>
        </w:tc>
      </w:tr>
      <w:tr>
        <w:trPr>
          <w:trHeight w:val="300"/>
        </w:trPr>
        <w:tc>
          <w:tcPr>
            <w:tcW w:w="2707" w:type="dxa"/>
            <w:tcBorders>
              <w:top w:val="nil"/>
              <w:left w:val="single" w:sz="4" w:space="0" w:color="auto"/>
              <w:bottom w:val="single" w:sz="4" w:space="0" w:color="auto"/>
              <w:right w:val="single" w:sz="4" w:space="0" w:color="auto"/>
            </w:tcBorders>
            <w:shd w:val="clear" w:color="auto" w:fill="auto"/>
            <w:noWrap/>
            <w:vAlign w:val="center"/>
          </w:tcPr>
          <w:p>
            <w:pPr>
              <w:rPr>
                <w:rFonts w:cs="Calibri"/>
                <w:color w:val="000000"/>
              </w:rPr>
            </w:pPr>
            <w:r>
              <w:rPr>
                <w:rFonts w:cs="Calibri"/>
                <w:color w:val="000000"/>
              </w:rPr>
              <w:t>Capacité de la STEU EH charge polluante</w:t>
            </w:r>
          </w:p>
        </w:tc>
        <w:tc>
          <w:tcPr>
            <w:tcW w:w="1559" w:type="dxa"/>
            <w:tcBorders>
              <w:top w:val="single" w:sz="4" w:space="0" w:color="auto"/>
              <w:left w:val="nil"/>
              <w:bottom w:val="single" w:sz="4" w:space="0" w:color="auto"/>
              <w:right w:val="single" w:sz="4" w:space="0" w:color="auto"/>
            </w:tcBorders>
            <w:shd w:val="clear" w:color="auto" w:fill="auto"/>
            <w:noWrap/>
            <w:vAlign w:val="center"/>
          </w:tcPr>
          <w:p>
            <w:pPr>
              <w:jc w:val="center"/>
              <w:rPr>
                <w:rFonts w:cs="Calibri"/>
                <w:color w:val="000000"/>
              </w:rPr>
            </w:pPr>
            <w:r>
              <w:rPr>
                <w:rFonts w:cs="Calibri"/>
                <w:color w:val="000000"/>
              </w:rPr>
              <w:t>7 000</w:t>
            </w:r>
          </w:p>
        </w:tc>
        <w:tc>
          <w:tcPr>
            <w:tcW w:w="1134" w:type="dxa"/>
            <w:tcBorders>
              <w:top w:val="nil"/>
              <w:left w:val="single" w:sz="4" w:space="0" w:color="auto"/>
              <w:bottom w:val="single" w:sz="4" w:space="0" w:color="auto"/>
              <w:right w:val="single" w:sz="4" w:space="0" w:color="auto"/>
            </w:tcBorders>
            <w:shd w:val="clear" w:color="auto" w:fill="auto"/>
            <w:noWrap/>
            <w:vAlign w:val="center"/>
          </w:tcPr>
          <w:p>
            <w:pPr>
              <w:jc w:val="center"/>
              <w:rPr>
                <w:rFonts w:cs="Calibri"/>
                <w:color w:val="000000"/>
              </w:rPr>
            </w:pPr>
            <w:r>
              <w:rPr>
                <w:rFonts w:cs="Calibri"/>
                <w:color w:val="000000"/>
              </w:rPr>
              <w:t>10 167</w:t>
            </w:r>
          </w:p>
        </w:tc>
        <w:tc>
          <w:tcPr>
            <w:tcW w:w="1984" w:type="dxa"/>
            <w:tcBorders>
              <w:top w:val="nil"/>
              <w:left w:val="single" w:sz="4" w:space="0" w:color="auto"/>
              <w:bottom w:val="single" w:sz="4" w:space="0" w:color="auto"/>
              <w:right w:val="single" w:sz="4" w:space="0" w:color="auto"/>
            </w:tcBorders>
            <w:shd w:val="clear" w:color="auto" w:fill="auto"/>
            <w:noWrap/>
            <w:vAlign w:val="center"/>
          </w:tcPr>
          <w:p>
            <w:pPr>
              <w:jc w:val="center"/>
              <w:rPr>
                <w:rFonts w:cs="Calibri"/>
                <w:color w:val="000000"/>
              </w:rPr>
            </w:pPr>
            <w:r>
              <w:rPr>
                <w:rFonts w:cs="Calibri"/>
                <w:color w:val="000000"/>
              </w:rPr>
              <w:t>10 167</w:t>
            </w:r>
          </w:p>
        </w:tc>
        <w:tc>
          <w:tcPr>
            <w:tcW w:w="2300" w:type="dxa"/>
            <w:tcBorders>
              <w:top w:val="nil"/>
              <w:left w:val="single" w:sz="4" w:space="0" w:color="auto"/>
              <w:bottom w:val="single" w:sz="4" w:space="0" w:color="auto"/>
              <w:right w:val="single" w:sz="4" w:space="0" w:color="auto"/>
            </w:tcBorders>
            <w:shd w:val="clear" w:color="auto" w:fill="auto"/>
            <w:noWrap/>
            <w:vAlign w:val="center"/>
          </w:tcPr>
          <w:p>
            <w:pPr>
              <w:jc w:val="center"/>
              <w:rPr>
                <w:rFonts w:cs="Calibri"/>
                <w:color w:val="000000"/>
              </w:rPr>
            </w:pPr>
            <w:r>
              <w:rPr>
                <w:rFonts w:cs="Calibri"/>
                <w:color w:val="000000"/>
              </w:rPr>
              <w:t>15 023</w:t>
            </w:r>
          </w:p>
        </w:tc>
      </w:tr>
      <w:tr>
        <w:trPr>
          <w:trHeight w:val="300"/>
        </w:trPr>
        <w:tc>
          <w:tcPr>
            <w:tcW w:w="2707" w:type="dxa"/>
            <w:tcBorders>
              <w:top w:val="nil"/>
              <w:left w:val="single" w:sz="4" w:space="0" w:color="auto"/>
              <w:bottom w:val="single" w:sz="4" w:space="0" w:color="auto"/>
              <w:right w:val="single" w:sz="4" w:space="0" w:color="auto"/>
            </w:tcBorders>
            <w:shd w:val="clear" w:color="auto" w:fill="auto"/>
            <w:noWrap/>
            <w:vAlign w:val="center"/>
            <w:hideMark/>
          </w:tcPr>
          <w:p>
            <w:pPr>
              <w:rPr>
                <w:rFonts w:cs="Calibri"/>
                <w:color w:val="000000"/>
              </w:rPr>
            </w:pPr>
            <w:r>
              <w:rPr>
                <w:rFonts w:cs="Calibri"/>
                <w:color w:val="000000"/>
              </w:rPr>
              <w:t>Débit journalier m</w:t>
            </w:r>
            <w:r>
              <w:rPr>
                <w:rFonts w:cs="Calibri"/>
                <w:color w:val="000000"/>
                <w:vertAlign w:val="superscript"/>
              </w:rPr>
              <w:t>3</w:t>
            </w:r>
            <w:r>
              <w:rPr>
                <w:rFonts w:cs="Calibri"/>
                <w:color w:val="000000"/>
              </w:rPr>
              <w:t>/j (percentile 95)</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pPr>
              <w:jc w:val="center"/>
              <w:rPr>
                <w:rFonts w:cs="Calibri"/>
                <w:color w:val="000000"/>
              </w:rPr>
            </w:pPr>
            <w:r>
              <w:rPr>
                <w:rFonts w:cs="Calibri"/>
                <w:color w:val="000000"/>
              </w:rPr>
              <w:t>1 400</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pPr>
              <w:jc w:val="center"/>
              <w:rPr>
                <w:rFonts w:cs="Calibri"/>
                <w:color w:val="000000"/>
              </w:rPr>
            </w:pPr>
            <w:r>
              <w:rPr>
                <w:rFonts w:cs="Calibri"/>
                <w:color w:val="000000"/>
              </w:rPr>
              <w:t>1 483</w:t>
            </w:r>
          </w:p>
        </w:tc>
        <w:tc>
          <w:tcPr>
            <w:tcW w:w="1984" w:type="dxa"/>
            <w:tcBorders>
              <w:top w:val="nil"/>
              <w:left w:val="single" w:sz="4" w:space="0" w:color="auto"/>
              <w:bottom w:val="single" w:sz="4" w:space="0" w:color="auto"/>
              <w:right w:val="single" w:sz="4" w:space="0" w:color="auto"/>
            </w:tcBorders>
            <w:shd w:val="clear" w:color="auto" w:fill="auto"/>
            <w:noWrap/>
            <w:vAlign w:val="center"/>
            <w:hideMark/>
          </w:tcPr>
          <w:p>
            <w:pPr>
              <w:jc w:val="center"/>
              <w:rPr>
                <w:rFonts w:cs="Calibri"/>
                <w:color w:val="000000"/>
              </w:rPr>
            </w:pPr>
            <w:r>
              <w:rPr>
                <w:rFonts w:cs="Calibri"/>
                <w:color w:val="000000"/>
              </w:rPr>
              <w:t>956</w:t>
            </w:r>
          </w:p>
        </w:tc>
        <w:tc>
          <w:tcPr>
            <w:tcW w:w="2300" w:type="dxa"/>
            <w:tcBorders>
              <w:top w:val="nil"/>
              <w:left w:val="single" w:sz="4" w:space="0" w:color="auto"/>
              <w:bottom w:val="single" w:sz="4" w:space="0" w:color="auto"/>
              <w:right w:val="single" w:sz="4" w:space="0" w:color="auto"/>
            </w:tcBorders>
            <w:shd w:val="clear" w:color="auto" w:fill="auto"/>
            <w:noWrap/>
            <w:vAlign w:val="center"/>
            <w:hideMark/>
          </w:tcPr>
          <w:p>
            <w:pPr>
              <w:jc w:val="center"/>
              <w:rPr>
                <w:rFonts w:cs="Calibri"/>
                <w:color w:val="000000"/>
              </w:rPr>
            </w:pPr>
            <w:r>
              <w:rPr>
                <w:rFonts w:cs="Calibri"/>
                <w:color w:val="000000"/>
              </w:rPr>
              <w:t>1 564</w:t>
            </w:r>
          </w:p>
        </w:tc>
      </w:tr>
      <w:tr>
        <w:trPr>
          <w:trHeight w:val="300"/>
        </w:trPr>
        <w:tc>
          <w:tcPr>
            <w:tcW w:w="2707" w:type="dxa"/>
            <w:tcBorders>
              <w:top w:val="nil"/>
              <w:left w:val="single" w:sz="4" w:space="0" w:color="auto"/>
              <w:bottom w:val="single" w:sz="4" w:space="0" w:color="auto"/>
              <w:right w:val="single" w:sz="4" w:space="0" w:color="auto"/>
            </w:tcBorders>
            <w:shd w:val="clear" w:color="auto" w:fill="auto"/>
            <w:noWrap/>
            <w:vAlign w:val="center"/>
            <w:hideMark/>
          </w:tcPr>
          <w:p>
            <w:pPr>
              <w:rPr>
                <w:rFonts w:cs="Calibri"/>
                <w:color w:val="000000"/>
              </w:rPr>
            </w:pPr>
            <w:r>
              <w:rPr>
                <w:rFonts w:cs="Calibri"/>
                <w:color w:val="000000"/>
              </w:rPr>
              <w:t>Débit moyen horaire (m</w:t>
            </w:r>
            <w:r>
              <w:rPr>
                <w:rFonts w:cs="Calibri"/>
                <w:color w:val="000000"/>
                <w:vertAlign w:val="superscript"/>
              </w:rPr>
              <w:t>3</w:t>
            </w:r>
            <w:r>
              <w:rPr>
                <w:rFonts w:cs="Calibri"/>
                <w:color w:val="000000"/>
              </w:rPr>
              <w:t>/h)</w:t>
            </w:r>
          </w:p>
        </w:tc>
        <w:tc>
          <w:tcPr>
            <w:tcW w:w="1559" w:type="dxa"/>
            <w:tcBorders>
              <w:top w:val="nil"/>
              <w:left w:val="nil"/>
              <w:bottom w:val="single" w:sz="4" w:space="0" w:color="auto"/>
              <w:right w:val="single" w:sz="4" w:space="0" w:color="auto"/>
            </w:tcBorders>
            <w:shd w:val="clear" w:color="auto" w:fill="auto"/>
            <w:noWrap/>
            <w:vAlign w:val="center"/>
            <w:hideMark/>
          </w:tcPr>
          <w:p>
            <w:pPr>
              <w:jc w:val="center"/>
              <w:rPr>
                <w:rFonts w:cs="Calibri"/>
                <w:color w:val="000000"/>
              </w:rPr>
            </w:pPr>
            <w:r>
              <w:rPr>
                <w:rFonts w:cs="Calibri"/>
                <w:color w:val="000000"/>
              </w:rPr>
              <w:t>58</w:t>
            </w:r>
          </w:p>
        </w:tc>
        <w:tc>
          <w:tcPr>
            <w:tcW w:w="1134" w:type="dxa"/>
            <w:tcBorders>
              <w:top w:val="nil"/>
              <w:left w:val="nil"/>
              <w:bottom w:val="single" w:sz="4" w:space="0" w:color="auto"/>
              <w:right w:val="single" w:sz="4" w:space="0" w:color="auto"/>
            </w:tcBorders>
            <w:shd w:val="clear" w:color="auto" w:fill="auto"/>
            <w:noWrap/>
            <w:vAlign w:val="center"/>
            <w:hideMark/>
          </w:tcPr>
          <w:p>
            <w:pPr>
              <w:jc w:val="center"/>
              <w:rPr>
                <w:rFonts w:cs="Calibri"/>
                <w:color w:val="000000"/>
              </w:rPr>
            </w:pPr>
            <w:r>
              <w:rPr>
                <w:rFonts w:cs="Calibri"/>
                <w:color w:val="000000"/>
              </w:rPr>
              <w:t>62</w:t>
            </w:r>
          </w:p>
        </w:tc>
        <w:tc>
          <w:tcPr>
            <w:tcW w:w="1984" w:type="dxa"/>
            <w:tcBorders>
              <w:top w:val="nil"/>
              <w:left w:val="nil"/>
              <w:bottom w:val="single" w:sz="4" w:space="0" w:color="auto"/>
              <w:right w:val="single" w:sz="4" w:space="0" w:color="auto"/>
            </w:tcBorders>
            <w:shd w:val="clear" w:color="auto" w:fill="auto"/>
            <w:noWrap/>
            <w:vAlign w:val="center"/>
            <w:hideMark/>
          </w:tcPr>
          <w:p>
            <w:pPr>
              <w:jc w:val="center"/>
              <w:rPr>
                <w:rFonts w:cs="Calibri"/>
                <w:color w:val="000000"/>
              </w:rPr>
            </w:pPr>
            <w:r>
              <w:rPr>
                <w:rFonts w:cs="Calibri"/>
                <w:color w:val="000000"/>
              </w:rPr>
              <w:t>40</w:t>
            </w:r>
          </w:p>
        </w:tc>
        <w:tc>
          <w:tcPr>
            <w:tcW w:w="2300" w:type="dxa"/>
            <w:tcBorders>
              <w:top w:val="nil"/>
              <w:left w:val="nil"/>
              <w:bottom w:val="single" w:sz="4" w:space="0" w:color="auto"/>
              <w:right w:val="single" w:sz="4" w:space="0" w:color="auto"/>
            </w:tcBorders>
            <w:shd w:val="clear" w:color="auto" w:fill="auto"/>
            <w:noWrap/>
            <w:vAlign w:val="center"/>
            <w:hideMark/>
          </w:tcPr>
          <w:p>
            <w:pPr>
              <w:jc w:val="center"/>
              <w:rPr>
                <w:rFonts w:cs="Calibri"/>
                <w:color w:val="000000"/>
              </w:rPr>
            </w:pPr>
            <w:r>
              <w:rPr>
                <w:rFonts w:cs="Calibri"/>
                <w:color w:val="000000"/>
              </w:rPr>
              <w:t>65</w:t>
            </w:r>
          </w:p>
        </w:tc>
      </w:tr>
      <w:tr>
        <w:trPr>
          <w:trHeight w:val="300"/>
        </w:trPr>
        <w:tc>
          <w:tcPr>
            <w:tcW w:w="2707" w:type="dxa"/>
            <w:tcBorders>
              <w:top w:val="nil"/>
              <w:left w:val="single" w:sz="4" w:space="0" w:color="auto"/>
              <w:bottom w:val="single" w:sz="4" w:space="0" w:color="auto"/>
              <w:right w:val="single" w:sz="4" w:space="0" w:color="auto"/>
            </w:tcBorders>
            <w:shd w:val="clear" w:color="auto" w:fill="auto"/>
            <w:noWrap/>
            <w:vAlign w:val="center"/>
            <w:hideMark/>
          </w:tcPr>
          <w:p>
            <w:pPr>
              <w:rPr>
                <w:rFonts w:cs="Calibri"/>
                <w:color w:val="000000"/>
              </w:rPr>
            </w:pPr>
            <w:r>
              <w:rPr>
                <w:rFonts w:cs="Calibri"/>
                <w:color w:val="000000"/>
              </w:rPr>
              <w:t>Débit de pointe horaire (m</w:t>
            </w:r>
            <w:r>
              <w:rPr>
                <w:rFonts w:cs="Calibri"/>
                <w:color w:val="000000"/>
                <w:vertAlign w:val="superscript"/>
              </w:rPr>
              <w:t>3</w:t>
            </w:r>
            <w:r>
              <w:rPr>
                <w:rFonts w:cs="Calibri"/>
                <w:color w:val="000000"/>
              </w:rPr>
              <w:t>/h)</w:t>
            </w:r>
          </w:p>
        </w:tc>
        <w:tc>
          <w:tcPr>
            <w:tcW w:w="1559" w:type="dxa"/>
            <w:tcBorders>
              <w:top w:val="nil"/>
              <w:left w:val="nil"/>
              <w:bottom w:val="single" w:sz="4" w:space="0" w:color="auto"/>
              <w:right w:val="single" w:sz="4" w:space="0" w:color="auto"/>
            </w:tcBorders>
            <w:shd w:val="clear" w:color="auto" w:fill="auto"/>
            <w:noWrap/>
            <w:vAlign w:val="center"/>
            <w:hideMark/>
          </w:tcPr>
          <w:p>
            <w:pPr>
              <w:jc w:val="center"/>
              <w:rPr>
                <w:rFonts w:cs="Calibri"/>
                <w:color w:val="000000"/>
              </w:rPr>
            </w:pPr>
            <w:r>
              <w:rPr>
                <w:rFonts w:cs="Calibri"/>
                <w:color w:val="000000"/>
              </w:rPr>
              <w:t>150</w:t>
            </w:r>
          </w:p>
        </w:tc>
        <w:tc>
          <w:tcPr>
            <w:tcW w:w="1134" w:type="dxa"/>
            <w:tcBorders>
              <w:top w:val="nil"/>
              <w:left w:val="nil"/>
              <w:bottom w:val="single" w:sz="4" w:space="0" w:color="auto"/>
              <w:right w:val="single" w:sz="4" w:space="0" w:color="auto"/>
            </w:tcBorders>
            <w:shd w:val="clear" w:color="auto" w:fill="auto"/>
            <w:noWrap/>
            <w:vAlign w:val="center"/>
            <w:hideMark/>
          </w:tcPr>
          <w:p>
            <w:pPr>
              <w:jc w:val="center"/>
              <w:rPr>
                <w:rFonts w:cs="Calibri"/>
                <w:color w:val="000000"/>
              </w:rPr>
            </w:pPr>
            <w:r>
              <w:rPr>
                <w:rFonts w:cs="Calibri"/>
                <w:color w:val="000000"/>
              </w:rPr>
              <w:t>112</w:t>
            </w:r>
          </w:p>
        </w:tc>
        <w:tc>
          <w:tcPr>
            <w:tcW w:w="1984" w:type="dxa"/>
            <w:tcBorders>
              <w:top w:val="nil"/>
              <w:left w:val="nil"/>
              <w:bottom w:val="single" w:sz="4" w:space="0" w:color="auto"/>
              <w:right w:val="single" w:sz="4" w:space="0" w:color="auto"/>
            </w:tcBorders>
            <w:shd w:val="clear" w:color="auto" w:fill="auto"/>
            <w:noWrap/>
            <w:vAlign w:val="center"/>
            <w:hideMark/>
          </w:tcPr>
          <w:p>
            <w:pPr>
              <w:jc w:val="center"/>
              <w:rPr>
                <w:rFonts w:cs="Calibri"/>
                <w:color w:val="000000"/>
              </w:rPr>
            </w:pPr>
            <w:r>
              <w:rPr>
                <w:rFonts w:cs="Calibri"/>
                <w:color w:val="000000"/>
              </w:rPr>
              <w:t>76</w:t>
            </w:r>
          </w:p>
        </w:tc>
        <w:tc>
          <w:tcPr>
            <w:tcW w:w="2300" w:type="dxa"/>
            <w:tcBorders>
              <w:top w:val="nil"/>
              <w:left w:val="nil"/>
              <w:bottom w:val="single" w:sz="4" w:space="0" w:color="auto"/>
              <w:right w:val="single" w:sz="4" w:space="0" w:color="auto"/>
            </w:tcBorders>
            <w:shd w:val="clear" w:color="auto" w:fill="auto"/>
            <w:noWrap/>
            <w:vAlign w:val="center"/>
            <w:hideMark/>
          </w:tcPr>
          <w:p>
            <w:pPr>
              <w:jc w:val="center"/>
              <w:rPr>
                <w:rFonts w:cs="Calibri"/>
                <w:color w:val="000000"/>
              </w:rPr>
            </w:pPr>
            <w:r>
              <w:rPr>
                <w:rFonts w:cs="Calibri"/>
                <w:color w:val="000000"/>
              </w:rPr>
              <w:t>118</w:t>
            </w:r>
          </w:p>
        </w:tc>
      </w:tr>
      <w:tr>
        <w:trPr>
          <w:trHeight w:val="300"/>
        </w:trPr>
        <w:tc>
          <w:tcPr>
            <w:tcW w:w="2707" w:type="dxa"/>
            <w:tcBorders>
              <w:top w:val="nil"/>
              <w:left w:val="single" w:sz="4" w:space="0" w:color="auto"/>
              <w:bottom w:val="single" w:sz="4" w:space="0" w:color="auto"/>
              <w:right w:val="single" w:sz="4" w:space="0" w:color="auto"/>
            </w:tcBorders>
            <w:shd w:val="clear" w:color="auto" w:fill="auto"/>
            <w:noWrap/>
            <w:vAlign w:val="center"/>
            <w:hideMark/>
          </w:tcPr>
          <w:p>
            <w:pPr>
              <w:rPr>
                <w:rFonts w:cs="Calibri"/>
                <w:color w:val="000000"/>
              </w:rPr>
            </w:pPr>
            <w:r>
              <w:rPr>
                <w:rFonts w:cs="Calibri"/>
                <w:color w:val="000000"/>
              </w:rPr>
              <w:t>Charge polluante (kg/DBO</w:t>
            </w:r>
            <w:r>
              <w:rPr>
                <w:rFonts w:cs="Calibri"/>
                <w:color w:val="000000"/>
                <w:vertAlign w:val="subscript"/>
              </w:rPr>
              <w:t>5</w:t>
            </w:r>
            <w:r>
              <w:rPr>
                <w:rFonts w:cs="Calibri"/>
                <w:color w:val="000000"/>
              </w:rPr>
              <w:t>/j)</w:t>
            </w:r>
          </w:p>
        </w:tc>
        <w:tc>
          <w:tcPr>
            <w:tcW w:w="1559" w:type="dxa"/>
            <w:tcBorders>
              <w:top w:val="nil"/>
              <w:left w:val="nil"/>
              <w:bottom w:val="single" w:sz="4" w:space="0" w:color="auto"/>
              <w:right w:val="single" w:sz="4" w:space="0" w:color="auto"/>
            </w:tcBorders>
            <w:shd w:val="clear" w:color="auto" w:fill="auto"/>
            <w:noWrap/>
            <w:vAlign w:val="center"/>
            <w:hideMark/>
          </w:tcPr>
          <w:p>
            <w:pPr>
              <w:jc w:val="center"/>
              <w:rPr>
                <w:rFonts w:cs="Calibri"/>
                <w:color w:val="000000"/>
              </w:rPr>
            </w:pPr>
            <w:r>
              <w:rPr>
                <w:rFonts w:cs="Calibri"/>
                <w:color w:val="000000"/>
              </w:rPr>
              <w:t>420</w:t>
            </w:r>
          </w:p>
        </w:tc>
        <w:tc>
          <w:tcPr>
            <w:tcW w:w="1134" w:type="dxa"/>
            <w:tcBorders>
              <w:top w:val="nil"/>
              <w:left w:val="nil"/>
              <w:bottom w:val="single" w:sz="4" w:space="0" w:color="auto"/>
              <w:right w:val="single" w:sz="4" w:space="0" w:color="auto"/>
            </w:tcBorders>
            <w:shd w:val="clear" w:color="auto" w:fill="auto"/>
            <w:noWrap/>
            <w:vAlign w:val="center"/>
            <w:hideMark/>
          </w:tcPr>
          <w:p>
            <w:pPr>
              <w:jc w:val="center"/>
              <w:rPr>
                <w:rFonts w:cs="Calibri"/>
                <w:color w:val="000000"/>
              </w:rPr>
            </w:pPr>
            <w:r>
              <w:rPr>
                <w:rFonts w:cs="Calibri"/>
                <w:color w:val="000000"/>
              </w:rPr>
              <w:t>610</w:t>
            </w:r>
          </w:p>
        </w:tc>
        <w:tc>
          <w:tcPr>
            <w:tcW w:w="1984" w:type="dxa"/>
            <w:tcBorders>
              <w:top w:val="nil"/>
              <w:left w:val="nil"/>
              <w:bottom w:val="single" w:sz="4" w:space="0" w:color="auto"/>
              <w:right w:val="single" w:sz="4" w:space="0" w:color="auto"/>
            </w:tcBorders>
            <w:shd w:val="clear" w:color="auto" w:fill="auto"/>
            <w:noWrap/>
            <w:vAlign w:val="center"/>
            <w:hideMark/>
          </w:tcPr>
          <w:p>
            <w:pPr>
              <w:jc w:val="center"/>
              <w:rPr>
                <w:rFonts w:cs="Calibri"/>
                <w:color w:val="000000"/>
              </w:rPr>
            </w:pPr>
            <w:r>
              <w:rPr>
                <w:rFonts w:cs="Calibri"/>
                <w:color w:val="000000"/>
              </w:rPr>
              <w:t>610</w:t>
            </w:r>
          </w:p>
        </w:tc>
        <w:tc>
          <w:tcPr>
            <w:tcW w:w="2300" w:type="dxa"/>
            <w:tcBorders>
              <w:top w:val="nil"/>
              <w:left w:val="nil"/>
              <w:bottom w:val="single" w:sz="4" w:space="0" w:color="auto"/>
              <w:right w:val="single" w:sz="4" w:space="0" w:color="auto"/>
            </w:tcBorders>
            <w:shd w:val="clear" w:color="auto" w:fill="auto"/>
            <w:noWrap/>
            <w:vAlign w:val="center"/>
            <w:hideMark/>
          </w:tcPr>
          <w:p>
            <w:pPr>
              <w:jc w:val="center"/>
              <w:rPr>
                <w:rFonts w:cs="Calibri"/>
                <w:color w:val="000000"/>
              </w:rPr>
            </w:pPr>
            <w:r>
              <w:rPr>
                <w:rFonts w:cs="Calibri"/>
                <w:color w:val="000000"/>
              </w:rPr>
              <w:t>901</w:t>
            </w:r>
          </w:p>
        </w:tc>
      </w:tr>
    </w:tbl>
    <w:p>
      <w:pPr>
        <w:pStyle w:val="Lgende"/>
        <w:rPr>
          <w:szCs w:val="20"/>
        </w:rPr>
      </w:pPr>
      <w:bookmarkStart w:id="59" w:name="_Toc52809379"/>
      <w:r>
        <w:rPr>
          <w:szCs w:val="20"/>
        </w:rPr>
        <w:t>Conclusion sur la situation future</w:t>
      </w:r>
      <w:bookmarkEnd w:id="59"/>
      <w:r>
        <w:rPr>
          <w:szCs w:val="20"/>
        </w:rPr>
        <w:t xml:space="preserve"> (2055)</w:t>
      </w:r>
    </w:p>
    <w:p>
      <w:r>
        <w:t>La station d’épuration ne serait plus saturée (au niveau de la charge hydraulique) en situation actuelle à la condition de supprimer les eaux parasites localisées conformément au programme de travaux. A l’horizon 2055, le développement urbanistique de la commune conduira à augmenter la saturation de l’unité de dépollution. Une nouvelle station d’épuration d’une capacité de 15 000EH pour la charge polluante et 11 000EH pour la charge hydraulique devra être créée. La station d’épuration actuelle sera saturée au niveau de la charge hydraulique en 2040 au plus tard et est déjà saturée au niveau de la charge organique.</w:t>
      </w:r>
      <w:bookmarkStart w:id="60" w:name="_GoBack"/>
      <w:bookmarkEnd w:id="60"/>
    </w:p>
    <w:p>
      <w:pPr>
        <w:pStyle w:val="Retrait20"/>
        <w:numPr>
          <w:ilvl w:val="0"/>
          <w:numId w:val="13"/>
        </w:numPr>
        <w:spacing w:before="0"/>
        <w:jc w:val="left"/>
        <w:rPr>
          <w:b/>
          <w:smallCaps/>
          <w:color w:val="333333"/>
          <w:kern w:val="28"/>
          <w:sz w:val="48"/>
        </w:rPr>
      </w:pPr>
      <w:bookmarkStart w:id="61" w:name="_Toc46480276"/>
      <w:r>
        <w:br w:type="page"/>
      </w:r>
    </w:p>
    <w:p>
      <w:pPr>
        <w:pStyle w:val="Titre1"/>
        <w:numPr>
          <w:ilvl w:val="0"/>
          <w:numId w:val="0"/>
        </w:numPr>
        <w:ind w:left="432" w:hanging="432"/>
      </w:pPr>
      <w:bookmarkStart w:id="62" w:name="_Toc92353833"/>
      <w:r>
        <w:lastRenderedPageBreak/>
        <w:t>3. Programme de travaux</w:t>
      </w:r>
      <w:bookmarkEnd w:id="61"/>
      <w:bookmarkEnd w:id="62"/>
    </w:p>
    <w:p/>
    <w:p>
      <w:pPr>
        <w:pStyle w:val="Titre2"/>
        <w:numPr>
          <w:ilvl w:val="0"/>
          <w:numId w:val="0"/>
        </w:numPr>
      </w:pPr>
      <w:bookmarkStart w:id="63" w:name="_Toc46480277"/>
      <w:bookmarkStart w:id="64" w:name="_Toc92353834"/>
      <w:r>
        <w:t>3.1. Structure du programme de travaux</w:t>
      </w:r>
      <w:bookmarkEnd w:id="63"/>
      <w:bookmarkEnd w:id="64"/>
    </w:p>
    <w:p>
      <w:r>
        <w:t xml:space="preserve">Le programme de travaux est établi sous la forme d’un ensemble de propositions d’actions en réponse aux problématiques rappelées dans la synthèse du chapitre précédent. Pour chaque action, il est présenté : </w:t>
      </w:r>
    </w:p>
    <w:p>
      <w:pPr>
        <w:pStyle w:val="Retrait20"/>
        <w:tabs>
          <w:tab w:val="clear" w:pos="928"/>
          <w:tab w:val="num" w:pos="1324"/>
        </w:tabs>
        <w:ind w:left="1304"/>
      </w:pPr>
      <w:r>
        <w:t>Un état des lieux succinct et l’objectif de l’action ;</w:t>
      </w:r>
    </w:p>
    <w:p>
      <w:pPr>
        <w:pStyle w:val="Retrait20"/>
        <w:tabs>
          <w:tab w:val="clear" w:pos="928"/>
          <w:tab w:val="num" w:pos="1324"/>
        </w:tabs>
        <w:ind w:left="1304"/>
      </w:pPr>
      <w:proofErr w:type="gramStart"/>
      <w:r>
        <w:t>La ou les technique(s</w:t>
      </w:r>
      <w:proofErr w:type="gramEnd"/>
      <w:r>
        <w:t>) mises en œuvre (réhabilitation, extension, renouvellement) si cela s’avère pertinent;</w:t>
      </w:r>
    </w:p>
    <w:p>
      <w:pPr>
        <w:pStyle w:val="Retrait20"/>
        <w:tabs>
          <w:tab w:val="clear" w:pos="928"/>
          <w:tab w:val="num" w:pos="1324"/>
        </w:tabs>
        <w:ind w:left="1304"/>
      </w:pPr>
      <w:r>
        <w:t>Des indicateurs d’efficacité s’ils sont calculables ;</w:t>
      </w:r>
    </w:p>
    <w:p>
      <w:pPr>
        <w:pStyle w:val="Retrait20"/>
        <w:tabs>
          <w:tab w:val="clear" w:pos="928"/>
          <w:tab w:val="num" w:pos="1324"/>
        </w:tabs>
        <w:ind w:left="1304"/>
      </w:pPr>
      <w:r>
        <w:t>Une estimation financière du cout des travaux ;</w:t>
      </w:r>
    </w:p>
    <w:p>
      <w:pPr>
        <w:pStyle w:val="Retrait20"/>
        <w:tabs>
          <w:tab w:val="clear" w:pos="928"/>
          <w:tab w:val="num" w:pos="1324"/>
        </w:tabs>
        <w:ind w:left="1304"/>
      </w:pPr>
      <w:r>
        <w:t>Une proposition de priorisation technique.</w:t>
      </w:r>
    </w:p>
    <w:p>
      <w:r>
        <w:t>Le programme d’actions s’articule autour des thématiques suivantes :</w:t>
      </w:r>
    </w:p>
    <w:p>
      <w:pPr>
        <w:pStyle w:val="Retrait1"/>
        <w:tabs>
          <w:tab w:val="clear" w:pos="927"/>
        </w:tabs>
        <w:ind w:left="700" w:hanging="360"/>
      </w:pPr>
      <w:r>
        <w:t>Thématique 1 : Suppression des eaux claires parasites de temps de pluie</w:t>
      </w:r>
    </w:p>
    <w:p>
      <w:pPr>
        <w:pStyle w:val="Retrait20"/>
        <w:tabs>
          <w:tab w:val="clear" w:pos="928"/>
          <w:tab w:val="num" w:pos="1324"/>
        </w:tabs>
        <w:ind w:left="1304"/>
      </w:pPr>
      <w:r>
        <w:t>Action n°1 : Déconnexion et suppression des surfaces actives raccordées au système de collecte</w:t>
      </w:r>
    </w:p>
    <w:p>
      <w:pPr>
        <w:pStyle w:val="Retrait20"/>
        <w:tabs>
          <w:tab w:val="clear" w:pos="928"/>
          <w:tab w:val="num" w:pos="1324"/>
        </w:tabs>
        <w:ind w:left="1304"/>
      </w:pPr>
      <w:r>
        <w:t>Action n°2 : Réhabilitation des tampons regards de visite ou de branchements responsables d'apports d'eaux claires parasites</w:t>
      </w:r>
    </w:p>
    <w:p>
      <w:pPr>
        <w:pStyle w:val="Retrait20"/>
        <w:tabs>
          <w:tab w:val="clear" w:pos="928"/>
          <w:tab w:val="num" w:pos="1324"/>
        </w:tabs>
        <w:ind w:left="1304"/>
      </w:pPr>
      <w:r>
        <w:t>Action n°3 : Réalisation d’un programme de contrôle des branchements particuliers dont les anomalies n’ont pu être constatées lors des tests à la fumée</w:t>
      </w:r>
    </w:p>
    <w:p>
      <w:pPr>
        <w:pStyle w:val="Retrait1"/>
        <w:tabs>
          <w:tab w:val="clear" w:pos="927"/>
        </w:tabs>
        <w:ind w:left="700" w:hanging="360"/>
      </w:pPr>
      <w:r>
        <w:t>Thématique 2 : Suppression des eaux claires parasites de temps sec et/ou ressuyage</w:t>
      </w:r>
    </w:p>
    <w:p>
      <w:pPr>
        <w:pStyle w:val="Retrait20"/>
        <w:tabs>
          <w:tab w:val="clear" w:pos="928"/>
          <w:tab w:val="num" w:pos="1324"/>
        </w:tabs>
        <w:ind w:left="1304"/>
      </w:pPr>
      <w:r>
        <w:t>Action n°4 : Réhabilitation ou renouvellement des tronçons responsables d'apports d'eaux claires parasites</w:t>
      </w:r>
    </w:p>
    <w:p>
      <w:pPr>
        <w:pStyle w:val="Retrait20"/>
        <w:tabs>
          <w:tab w:val="clear" w:pos="928"/>
          <w:tab w:val="num" w:pos="1324"/>
        </w:tabs>
        <w:ind w:left="1304"/>
      </w:pPr>
      <w:r>
        <w:t>Action n°5 : Réhabilitation des regards de visite sensibles aux eaux claires parasites</w:t>
      </w:r>
    </w:p>
    <w:p>
      <w:pPr>
        <w:pStyle w:val="Retrait1"/>
        <w:tabs>
          <w:tab w:val="clear" w:pos="927"/>
        </w:tabs>
        <w:ind w:left="700" w:hanging="360"/>
      </w:pPr>
      <w:r>
        <w:t>Thématique 3 : Réhabilitation des réseaux et regards de visite</w:t>
      </w:r>
    </w:p>
    <w:p>
      <w:pPr>
        <w:pStyle w:val="Retrait20"/>
        <w:tabs>
          <w:tab w:val="clear" w:pos="928"/>
          <w:tab w:val="num" w:pos="1324"/>
        </w:tabs>
        <w:ind w:left="1304"/>
      </w:pPr>
      <w:r>
        <w:t>Action n°6 : Réhabilitation des réseaux (suppression des branchements pénétrants)</w:t>
      </w:r>
    </w:p>
    <w:p>
      <w:pPr>
        <w:pStyle w:val="Retrait20"/>
        <w:tabs>
          <w:tab w:val="clear" w:pos="928"/>
          <w:tab w:val="num" w:pos="1324"/>
        </w:tabs>
        <w:ind w:left="1304"/>
      </w:pPr>
      <w:r>
        <w:t>Action n°7 : Réhabilitation des regards de visite vétustes non étanches et/ou présentant des anomalies structurelles</w:t>
      </w:r>
    </w:p>
    <w:p>
      <w:pPr>
        <w:pStyle w:val="Retrait1"/>
        <w:tabs>
          <w:tab w:val="clear" w:pos="927"/>
        </w:tabs>
        <w:ind w:left="700" w:hanging="360"/>
      </w:pPr>
      <w:r>
        <w:t>Thématique 4 : Réhabilitation des équipements et ouvrages (conformité réglementaire, sécurité et exploitation)</w:t>
      </w:r>
    </w:p>
    <w:p>
      <w:pPr>
        <w:pStyle w:val="Retrait20"/>
        <w:tabs>
          <w:tab w:val="clear" w:pos="928"/>
          <w:tab w:val="num" w:pos="1324"/>
        </w:tabs>
        <w:ind w:left="1304"/>
      </w:pPr>
      <w:r>
        <w:t xml:space="preserve">Action n°8 : Réhabilitation des postes de relevage, </w:t>
      </w:r>
    </w:p>
    <w:p>
      <w:pPr>
        <w:pStyle w:val="Retrait20"/>
        <w:tabs>
          <w:tab w:val="clear" w:pos="928"/>
          <w:tab w:val="num" w:pos="1324"/>
        </w:tabs>
        <w:ind w:left="1304"/>
      </w:pPr>
      <w:r>
        <w:t xml:space="preserve">Action n°9 : Réhabilitation des unités de dépollution, </w:t>
      </w:r>
    </w:p>
    <w:p>
      <w:pPr>
        <w:pStyle w:val="Retrait1"/>
        <w:tabs>
          <w:tab w:val="clear" w:pos="927"/>
        </w:tabs>
        <w:ind w:left="700" w:hanging="360"/>
      </w:pPr>
      <w:r>
        <w:t>Thématique 5 : Mise en place d'une gestion patrimoniale</w:t>
      </w:r>
    </w:p>
    <w:p>
      <w:pPr>
        <w:pStyle w:val="Retrait20"/>
        <w:tabs>
          <w:tab w:val="clear" w:pos="928"/>
          <w:tab w:val="num" w:pos="1324"/>
        </w:tabs>
        <w:ind w:left="1304"/>
      </w:pPr>
      <w:r>
        <w:t>Action n°10 : Mise en place d’un diagnostic permanent</w:t>
      </w:r>
    </w:p>
    <w:p>
      <w:pPr>
        <w:pStyle w:val="Retrait20"/>
        <w:tabs>
          <w:tab w:val="clear" w:pos="928"/>
          <w:tab w:val="num" w:pos="1324"/>
        </w:tabs>
        <w:ind w:left="1304"/>
      </w:pPr>
      <w:r>
        <w:t>Action n°11 : Mise en place d'un renouvellement programmé de la collecte des eaux usées</w:t>
      </w:r>
    </w:p>
    <w:p>
      <w:pPr>
        <w:pStyle w:val="Retrait20"/>
        <w:tabs>
          <w:tab w:val="clear" w:pos="928"/>
          <w:tab w:val="num" w:pos="1324"/>
        </w:tabs>
        <w:ind w:left="1304"/>
      </w:pPr>
      <w:r>
        <w:t>Action n°12: Mise en place d’un programme annuel de contrôle de l’état du réseau et investigations</w:t>
      </w:r>
    </w:p>
    <w:p>
      <w:pPr>
        <w:pStyle w:val="Retrait1"/>
        <w:tabs>
          <w:tab w:val="clear" w:pos="927"/>
        </w:tabs>
        <w:ind w:left="700" w:hanging="360"/>
      </w:pPr>
      <w:r>
        <w:t>Thématique 7 : Mise en adéquation du système d’assainissement avec l’évolution urbanistique de la commune</w:t>
      </w:r>
    </w:p>
    <w:p>
      <w:pPr>
        <w:pStyle w:val="Retrait20"/>
        <w:tabs>
          <w:tab w:val="clear" w:pos="928"/>
          <w:tab w:val="num" w:pos="1324"/>
        </w:tabs>
        <w:ind w:left="1304"/>
      </w:pPr>
      <w:r>
        <w:t>Action n°13 : Extension de la collecte.</w:t>
      </w:r>
    </w:p>
    <w:p>
      <w:pPr>
        <w:pStyle w:val="Retrait20"/>
        <w:tabs>
          <w:tab w:val="clear" w:pos="928"/>
          <w:tab w:val="num" w:pos="1324"/>
        </w:tabs>
        <w:ind w:left="1304"/>
      </w:pPr>
      <w:r>
        <w:t>Action n°14 : Augmentation de la capacité de la station d’épuration</w:t>
      </w:r>
    </w:p>
    <w:p>
      <w:r>
        <w:t>Si nécessaire, les actions proposées pour chacune des thématiques peuvent être subdivisées en opérations (correspondant à différents secteurs géographiques ou actions devant être scindées dans le temps). Compte tenu du périmètre d’intervention de Nîmes Métropole et des études prévues à court terme de type diagnostic et schéma directeur d’assainissement, il n’est pas retenu d’échéancier de réalisation. La planification ne pourra être établie qu’après réalisation de l’ensemble des études prévues et la réalisation d’une prospective budgétaire à l’échelle global du périmètre de la Métropole. Les propositions sont hiérarchisées selon trois niveaux de priorité :</w:t>
      </w:r>
    </w:p>
    <w:p>
      <w:pPr>
        <w:pStyle w:val="Retrait20"/>
        <w:numPr>
          <w:ilvl w:val="0"/>
          <w:numId w:val="15"/>
        </w:numPr>
        <w:tabs>
          <w:tab w:val="clear" w:pos="928"/>
          <w:tab w:val="num" w:pos="1324"/>
        </w:tabs>
        <w:ind w:left="1304"/>
      </w:pPr>
      <w:r>
        <w:t>Priorité 1 (P1) : opérations urgentes permettant de résoudre un dysfonctionnement ou une anomalie ayant un impact avéré sur le système d’assainissement.</w:t>
      </w:r>
    </w:p>
    <w:p>
      <w:pPr>
        <w:pStyle w:val="Retrait20"/>
        <w:numPr>
          <w:ilvl w:val="0"/>
          <w:numId w:val="15"/>
        </w:numPr>
        <w:tabs>
          <w:tab w:val="clear" w:pos="928"/>
          <w:tab w:val="num" w:pos="1324"/>
        </w:tabs>
        <w:ind w:left="1304"/>
      </w:pPr>
      <w:r>
        <w:lastRenderedPageBreak/>
        <w:t xml:space="preserve">Priorité 2 (P2) : opérations non urgentes mais avec une incidence forte sur les problématiques du système d’assainissement </w:t>
      </w:r>
      <w:r>
        <w:rPr>
          <w:b/>
        </w:rPr>
        <w:t>ET</w:t>
      </w:r>
      <w:r>
        <w:t xml:space="preserve"> opérations urgentes mais sur une problématique mineure ou avec une incidence faible sur le système d’assainissement.</w:t>
      </w:r>
    </w:p>
    <w:p>
      <w:pPr>
        <w:pStyle w:val="Retrait20"/>
        <w:numPr>
          <w:ilvl w:val="0"/>
          <w:numId w:val="15"/>
        </w:numPr>
        <w:tabs>
          <w:tab w:val="clear" w:pos="928"/>
          <w:tab w:val="num" w:pos="1324"/>
        </w:tabs>
        <w:ind w:left="1304"/>
      </w:pPr>
      <w:r>
        <w:t>Priorité 3 (P3) : opérations non urgentes et sans effet notoires sur les problématiques mises en évidence.</w:t>
      </w:r>
    </w:p>
    <w:p>
      <w:pPr>
        <w:pStyle w:val="Titre2"/>
        <w:numPr>
          <w:ilvl w:val="0"/>
          <w:numId w:val="0"/>
        </w:numPr>
      </w:pPr>
      <w:bookmarkStart w:id="65" w:name="_Toc46480278"/>
      <w:bookmarkStart w:id="66" w:name="_Toc92353835"/>
      <w:r>
        <w:t>3.2. Thématique 1 : Suppression des eaux claires parasites de temps de pluie</w:t>
      </w:r>
      <w:bookmarkEnd w:id="65"/>
      <w:bookmarkEnd w:id="66"/>
    </w:p>
    <w:p>
      <w:pPr>
        <w:pStyle w:val="Titre3"/>
        <w:numPr>
          <w:ilvl w:val="0"/>
          <w:numId w:val="0"/>
        </w:numPr>
      </w:pPr>
      <w:bookmarkStart w:id="67" w:name="_Toc46480279"/>
      <w:bookmarkStart w:id="68" w:name="_Toc92353836"/>
      <w:r>
        <w:t>3.2.1. Action 1 : Déconnexion et suppression des surfaces actives raccordées au système de collecte</w:t>
      </w:r>
      <w:bookmarkEnd w:id="67"/>
      <w:r>
        <w:t xml:space="preserve"> – hors boite de branchement et regard</w:t>
      </w:r>
      <w:bookmarkEnd w:id="68"/>
    </w:p>
    <w:p>
      <w:pPr>
        <w:pStyle w:val="Retrait1"/>
        <w:tabs>
          <w:tab w:val="clear" w:pos="927"/>
        </w:tabs>
        <w:ind w:left="700" w:hanging="360"/>
      </w:pPr>
      <w:r>
        <w:t>Etat des lieux et objectif de l’action</w:t>
      </w:r>
    </w:p>
    <w:p>
      <w:pPr>
        <w:rPr>
          <w:lang w:eastAsia="x-none"/>
        </w:rPr>
      </w:pPr>
      <w:r>
        <w:rPr>
          <w:lang w:eastAsia="x-none"/>
        </w:rPr>
        <w:t xml:space="preserve">Le réseau d’assainissement de la commune est sensible aux intrusions d’eaux claires parasites de temps de pluie. Les tests de fumigation effectués ont permis de localiser 217 anomalies, dont : </w:t>
      </w:r>
    </w:p>
    <w:p>
      <w:pPr>
        <w:pStyle w:val="Retrait20"/>
        <w:tabs>
          <w:tab w:val="clear" w:pos="928"/>
          <w:tab w:val="num" w:pos="1324"/>
        </w:tabs>
        <w:ind w:left="1304"/>
      </w:pPr>
      <w:r>
        <w:t>16 gouttières (anomalies en domaine privé) ;</w:t>
      </w:r>
    </w:p>
    <w:p>
      <w:pPr>
        <w:pStyle w:val="Retrait20"/>
        <w:tabs>
          <w:tab w:val="clear" w:pos="928"/>
          <w:tab w:val="num" w:pos="1324"/>
        </w:tabs>
        <w:ind w:left="1304"/>
      </w:pPr>
      <w:r>
        <w:t>9 avaloirs (anomalies principalement en domaine privé) ;</w:t>
      </w:r>
    </w:p>
    <w:p>
      <w:pPr>
        <w:pStyle w:val="Retrait20"/>
        <w:tabs>
          <w:tab w:val="clear" w:pos="928"/>
          <w:tab w:val="num" w:pos="1324"/>
        </w:tabs>
        <w:ind w:left="1304"/>
      </w:pPr>
      <w:r>
        <w:t>1 toit terrasse (anomalies en domaine privé) ;</w:t>
      </w:r>
    </w:p>
    <w:p>
      <w:pPr>
        <w:pStyle w:val="Retrait20"/>
        <w:tabs>
          <w:tab w:val="clear" w:pos="928"/>
          <w:tab w:val="num" w:pos="1324"/>
        </w:tabs>
        <w:ind w:left="1304"/>
      </w:pPr>
      <w:r>
        <w:t>2 bouches de lavage (anomalies en domaine privé).</w:t>
      </w:r>
    </w:p>
    <w:p>
      <w:r>
        <w:t>Les fiches concernées sont les N° 3, 4, 18, 19, 27, 29, 91, 102, 103, 116, 139, 142, 162, 163, 175, 177, 178, 188, 193, 194, 200, 201, 206 et 210 (phase 2, annexe rapport fumigation).</w:t>
      </w:r>
    </w:p>
    <w:p>
      <w:r>
        <w:t xml:space="preserve">L’action 1 a pour objectif : </w:t>
      </w:r>
    </w:p>
    <w:p>
      <w:pPr>
        <w:pStyle w:val="Retrait20"/>
        <w:tabs>
          <w:tab w:val="clear" w:pos="928"/>
          <w:tab w:val="num" w:pos="1324"/>
        </w:tabs>
        <w:ind w:left="1304"/>
      </w:pPr>
      <w:r>
        <w:t>La suppression des surfaces actives responsables d’entrée d’eaux claires parasites par temps de pluie.</w:t>
      </w:r>
    </w:p>
    <w:p>
      <w:pPr>
        <w:pStyle w:val="Retrait20"/>
        <w:tabs>
          <w:tab w:val="clear" w:pos="928"/>
          <w:tab w:val="num" w:pos="1324"/>
        </w:tabs>
        <w:ind w:left="1304"/>
      </w:pPr>
      <w:r>
        <w:t>La mise en conformité générale du réseau d’assainissement d’un point de vu réglementaire.</w:t>
      </w:r>
    </w:p>
    <w:p>
      <w:pPr>
        <w:pStyle w:val="Retrait1"/>
        <w:tabs>
          <w:tab w:val="clear" w:pos="927"/>
        </w:tabs>
        <w:ind w:left="700" w:hanging="360"/>
      </w:pPr>
      <w:r>
        <w:t>Indicateurs et ratios caractéristiques</w:t>
      </w:r>
    </w:p>
    <w:p>
      <w:r>
        <w:rPr>
          <w:noProof/>
        </w:rPr>
        <w:drawing>
          <wp:inline distT="0" distB="0" distL="0" distR="0">
            <wp:extent cx="5972810" cy="1382395"/>
            <wp:effectExtent l="19050" t="19050" r="27940" b="27305"/>
            <wp:docPr id="1344" name="Imag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972810" cy="1382395"/>
                    </a:xfrm>
                    <a:prstGeom prst="rect">
                      <a:avLst/>
                    </a:prstGeom>
                    <a:ln>
                      <a:solidFill>
                        <a:schemeClr val="tx1"/>
                      </a:solidFill>
                    </a:ln>
                  </pic:spPr>
                </pic:pic>
              </a:graphicData>
            </a:graphic>
          </wp:inline>
        </w:drawing>
      </w:r>
      <w:r>
        <w:t xml:space="preserve">  </w:t>
      </w:r>
    </w:p>
    <w:p>
      <w:pPr>
        <w:pStyle w:val="Lgende"/>
      </w:pPr>
      <w:r>
        <w:t>Action 1 - efficacité de l'action en terme d'élimination d'ECP</w:t>
      </w:r>
    </w:p>
    <w:p>
      <w:pPr>
        <w:pStyle w:val="Retrait1"/>
        <w:tabs>
          <w:tab w:val="clear" w:pos="927"/>
        </w:tabs>
        <w:ind w:left="700" w:hanging="360"/>
      </w:pPr>
      <w:r>
        <w:t>Estimation du cout des travaux, priorités de réalisation</w:t>
      </w:r>
    </w:p>
    <w:p>
      <w:r>
        <w:rPr>
          <w:noProof/>
        </w:rPr>
        <w:drawing>
          <wp:inline distT="0" distB="0" distL="0" distR="0">
            <wp:extent cx="5972810" cy="1998980"/>
            <wp:effectExtent l="19050" t="19050" r="27940" b="20320"/>
            <wp:docPr id="1401" name="Image 1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972810" cy="1998980"/>
                    </a:xfrm>
                    <a:prstGeom prst="rect">
                      <a:avLst/>
                    </a:prstGeom>
                    <a:ln>
                      <a:solidFill>
                        <a:schemeClr val="tx1"/>
                      </a:solidFill>
                    </a:ln>
                  </pic:spPr>
                </pic:pic>
              </a:graphicData>
            </a:graphic>
          </wp:inline>
        </w:drawing>
      </w:r>
      <w:r>
        <w:t xml:space="preserve">   </w:t>
      </w:r>
    </w:p>
    <w:p>
      <w:pPr>
        <w:pStyle w:val="Lgende"/>
      </w:pPr>
      <w:r>
        <w:t>Action 1 - estimation du coût des travaux et priorité de réalisation</w:t>
      </w:r>
    </w:p>
    <w:p>
      <w:pPr>
        <w:spacing w:before="0"/>
        <w:jc w:val="left"/>
        <w:rPr>
          <w:b/>
          <w:iCs/>
          <w:color w:val="333333"/>
          <w:sz w:val="28"/>
        </w:rPr>
      </w:pPr>
      <w:bookmarkStart w:id="69" w:name="_Toc46480280"/>
      <w:r>
        <w:br w:type="page"/>
      </w:r>
    </w:p>
    <w:p>
      <w:pPr>
        <w:pStyle w:val="Titre3"/>
        <w:numPr>
          <w:ilvl w:val="0"/>
          <w:numId w:val="0"/>
        </w:numPr>
      </w:pPr>
      <w:bookmarkStart w:id="70" w:name="_Toc92353837"/>
      <w:r>
        <w:lastRenderedPageBreak/>
        <w:t>3.2.2. Action 2 : Réhabilitation des tampons de regards de visite ou de branchements responsables d'apports d'eaux claires parasites</w:t>
      </w:r>
      <w:bookmarkEnd w:id="69"/>
      <w:bookmarkEnd w:id="70"/>
    </w:p>
    <w:p>
      <w:pPr>
        <w:pStyle w:val="Retrait1"/>
        <w:tabs>
          <w:tab w:val="clear" w:pos="927"/>
        </w:tabs>
        <w:ind w:left="700" w:hanging="360"/>
      </w:pPr>
      <w:r>
        <w:t>Etat des lieux et objectif de l’action</w:t>
      </w:r>
    </w:p>
    <w:p>
      <w:pPr>
        <w:rPr>
          <w:lang w:eastAsia="x-none"/>
        </w:rPr>
      </w:pPr>
      <w:r>
        <w:rPr>
          <w:lang w:eastAsia="x-none"/>
        </w:rPr>
        <w:t xml:space="preserve">Un certain nombre d’anomalies sur les tampons de regard de visite et tampons de boîtes de branchement sont responsables d’apport d’eaux claires parasites par temps de pluie. L’objectif ici est de trouver une solution afin d’éviter l’entrée d’eau parasite par temps de pluie dans le réseau par l’intermédiaire des regards et tampons, que ce soit en domaine public ou privé. </w:t>
      </w:r>
    </w:p>
    <w:p>
      <w:pPr>
        <w:rPr>
          <w:lang w:eastAsia="x-none"/>
        </w:rPr>
      </w:pPr>
      <w:r>
        <w:rPr>
          <w:lang w:eastAsia="x-none"/>
        </w:rPr>
        <w:t>Parmi les 127 tampons de boites de branchement repérés lors des tests de fumigation, 35 sont corrects et ne nécessitent pas de travaux.</w:t>
      </w:r>
    </w:p>
    <w:p>
      <w:pPr>
        <w:rPr>
          <w:lang w:eastAsia="x-none"/>
        </w:rPr>
      </w:pPr>
      <w:r>
        <w:rPr>
          <w:lang w:eastAsia="x-none"/>
        </w:rPr>
        <w:t>Parmi les 39 tampons de regards repérés lors des tests de fumigation, 21 sont corrects et ne nécessitent pas de travaux.</w:t>
      </w:r>
    </w:p>
    <w:p>
      <w:r>
        <w:t>L’action 2 a pour objectif la suppression des surfaces actives responsables d’entrée d’eaux claires parasites par temps de pluie.</w:t>
      </w:r>
    </w:p>
    <w:p>
      <w:pPr>
        <w:spacing w:before="0"/>
        <w:jc w:val="left"/>
      </w:pPr>
    </w:p>
    <w:p>
      <w:pPr>
        <w:spacing w:before="0"/>
        <w:jc w:val="left"/>
      </w:pPr>
      <w:r>
        <w:t>En fonction de la surface active associée à chaque anomalie, la suppression de l’anomalie sera classée par ordre de priorité :</w:t>
      </w:r>
    </w:p>
    <w:p>
      <w:pPr>
        <w:pStyle w:val="Retrait20"/>
      </w:pPr>
      <w:r>
        <w:t>Surface active supérieure à 50m² =&gt; priorité 1</w:t>
      </w:r>
    </w:p>
    <w:p>
      <w:pPr>
        <w:pStyle w:val="Retrait20"/>
      </w:pPr>
      <w:r>
        <w:t>Surface active comprise entre 0 et 50m² =&gt; priorité 2</w:t>
      </w:r>
    </w:p>
    <w:p>
      <w:pPr>
        <w:pStyle w:val="Retrait20"/>
      </w:pPr>
      <w:r>
        <w:t>Surface active égale à 0m² =&gt; priorité 3</w:t>
      </w:r>
    </w:p>
    <w:p>
      <w:pPr>
        <w:spacing w:before="0"/>
        <w:jc w:val="left"/>
        <w:rPr>
          <w:rFonts w:cs="Arial"/>
          <w:b/>
        </w:rPr>
      </w:pPr>
      <w:r>
        <w:br w:type="page"/>
      </w:r>
    </w:p>
    <w:p>
      <w:pPr>
        <w:pStyle w:val="Retrait1"/>
        <w:tabs>
          <w:tab w:val="clear" w:pos="927"/>
        </w:tabs>
        <w:ind w:left="700" w:hanging="360"/>
      </w:pPr>
      <w:r>
        <w:lastRenderedPageBreak/>
        <w:t>Indicateurs et ratios caractéristiques</w:t>
      </w:r>
    </w:p>
    <w:p>
      <w:pPr>
        <w:keepNext/>
      </w:pPr>
      <w:r>
        <w:rPr>
          <w:noProof/>
        </w:rPr>
        <w:drawing>
          <wp:inline distT="0" distB="0" distL="0" distR="0">
            <wp:extent cx="5972810" cy="6202680"/>
            <wp:effectExtent l="19050" t="19050" r="27940" b="26670"/>
            <wp:docPr id="1360" name="Imag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972810" cy="6202680"/>
                    </a:xfrm>
                    <a:prstGeom prst="rect">
                      <a:avLst/>
                    </a:prstGeom>
                    <a:ln>
                      <a:solidFill>
                        <a:schemeClr val="tx1"/>
                      </a:solidFill>
                    </a:ln>
                  </pic:spPr>
                </pic:pic>
              </a:graphicData>
            </a:graphic>
          </wp:inline>
        </w:drawing>
      </w:r>
      <w:r>
        <w:t xml:space="preserve">  </w:t>
      </w:r>
    </w:p>
    <w:p>
      <w:pPr>
        <w:pStyle w:val="Lgende"/>
      </w:pPr>
      <w:bookmarkStart w:id="71" w:name="_Toc46480602"/>
      <w:r>
        <w:t>Action 2 - efficacité de l'action en terme d'élimination d'ECP</w:t>
      </w:r>
      <w:bookmarkEnd w:id="71"/>
    </w:p>
    <w:p>
      <w:pPr>
        <w:spacing w:before="0"/>
        <w:jc w:val="left"/>
        <w:rPr>
          <w:rFonts w:cs="Arial"/>
          <w:b/>
        </w:rPr>
      </w:pPr>
      <w:r>
        <w:br w:type="page"/>
      </w:r>
    </w:p>
    <w:p>
      <w:pPr>
        <w:pStyle w:val="Retrait1"/>
        <w:tabs>
          <w:tab w:val="clear" w:pos="927"/>
        </w:tabs>
        <w:ind w:left="700" w:hanging="360"/>
      </w:pPr>
      <w:r>
        <w:lastRenderedPageBreak/>
        <w:t>Estimation du cout des travaux, priorités de réalisation</w:t>
      </w:r>
    </w:p>
    <w:p>
      <w:pPr>
        <w:keepNext/>
        <w:jc w:val="center"/>
      </w:pPr>
      <w:r>
        <w:rPr>
          <w:noProof/>
        </w:rPr>
        <w:drawing>
          <wp:inline distT="0" distB="0" distL="0" distR="0">
            <wp:extent cx="5598795" cy="8258810"/>
            <wp:effectExtent l="19050" t="19050" r="20955" b="27940"/>
            <wp:docPr id="1387" name="Imag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598795" cy="8258810"/>
                    </a:xfrm>
                    <a:prstGeom prst="rect">
                      <a:avLst/>
                    </a:prstGeom>
                    <a:ln>
                      <a:solidFill>
                        <a:schemeClr val="tx1"/>
                      </a:solidFill>
                    </a:ln>
                  </pic:spPr>
                </pic:pic>
              </a:graphicData>
            </a:graphic>
          </wp:inline>
        </w:drawing>
      </w:r>
    </w:p>
    <w:p>
      <w:pPr>
        <w:pStyle w:val="Lgende"/>
      </w:pPr>
      <w:bookmarkStart w:id="72" w:name="_Toc46480601"/>
      <w:r>
        <w:t xml:space="preserve">        Action 2 - </w:t>
      </w:r>
      <w:bookmarkEnd w:id="72"/>
      <w:r>
        <w:t>estimation du coût des travaux et priorité de réalisation</w:t>
      </w:r>
    </w:p>
    <w:p>
      <w:r>
        <w:t>La Métropole doit procéder à des mises en demeures à l’attention des abonnés pour les travaux en domaine privé.</w:t>
      </w:r>
    </w:p>
    <w:p>
      <w:pPr>
        <w:pStyle w:val="Titre3"/>
        <w:numPr>
          <w:ilvl w:val="0"/>
          <w:numId w:val="0"/>
        </w:numPr>
      </w:pPr>
      <w:bookmarkStart w:id="73" w:name="_Toc92353838"/>
      <w:r>
        <w:lastRenderedPageBreak/>
        <w:t>3.2.3. Action 3 : Réalisation d’un programme de contrôle des branchements particuliers dont les anomalies n’ont pu être constatées lors des tests à la fumée</w:t>
      </w:r>
      <w:bookmarkEnd w:id="73"/>
    </w:p>
    <w:p>
      <w:pPr>
        <w:pStyle w:val="Retrait1"/>
        <w:tabs>
          <w:tab w:val="clear" w:pos="927"/>
        </w:tabs>
        <w:ind w:left="700" w:hanging="360"/>
      </w:pPr>
      <w:r>
        <w:t>Etat des lieux et objectif de l’action</w:t>
      </w:r>
    </w:p>
    <w:p>
      <w:pPr>
        <w:rPr>
          <w:lang w:eastAsia="x-none"/>
        </w:rPr>
      </w:pPr>
      <w:r>
        <w:rPr>
          <w:lang w:eastAsia="x-none"/>
        </w:rPr>
        <w:t>Lors des tests de fumigation de nombreuses anomalies en domaine privé n’ont pas pu être identifiable depuis le domaine public c’est pourquoi il est nécessaire de réaliser un programme de contrôle de branchement.</w:t>
      </w:r>
    </w:p>
    <w:p>
      <w:r>
        <w:t>L’action 3 a pour objectif de localiser précisément des anomalies afin de supprimer des surfaces actives responsables d’entrée d’eaux claires parasites par temps de pluie.</w:t>
      </w:r>
    </w:p>
    <w:p>
      <w:pPr>
        <w:pStyle w:val="Retrait1"/>
        <w:tabs>
          <w:tab w:val="clear" w:pos="927"/>
        </w:tabs>
        <w:ind w:left="700" w:hanging="360"/>
      </w:pPr>
      <w:r>
        <w:t>Indicateurs et ratios caractéristiques</w:t>
      </w:r>
    </w:p>
    <w:p>
      <w:pPr>
        <w:keepNext/>
      </w:pPr>
      <w:r>
        <w:rPr>
          <w:noProof/>
        </w:rPr>
        <w:drawing>
          <wp:inline distT="0" distB="0" distL="0" distR="0">
            <wp:extent cx="5972810" cy="595630"/>
            <wp:effectExtent l="19050" t="19050" r="27940" b="13970"/>
            <wp:docPr id="1361" name="Imag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972810" cy="595630"/>
                    </a:xfrm>
                    <a:prstGeom prst="rect">
                      <a:avLst/>
                    </a:prstGeom>
                    <a:ln>
                      <a:solidFill>
                        <a:schemeClr val="tx1"/>
                      </a:solidFill>
                    </a:ln>
                  </pic:spPr>
                </pic:pic>
              </a:graphicData>
            </a:graphic>
          </wp:inline>
        </w:drawing>
      </w:r>
      <w:r>
        <w:t xml:space="preserve">  </w:t>
      </w:r>
    </w:p>
    <w:p>
      <w:pPr>
        <w:pStyle w:val="Lgende"/>
      </w:pPr>
      <w:r>
        <w:t>Action 3 - efficacité de l'action en terme d'élimination d'ECP</w:t>
      </w:r>
    </w:p>
    <w:p>
      <w:pPr>
        <w:pStyle w:val="Retrait1"/>
        <w:tabs>
          <w:tab w:val="clear" w:pos="927"/>
        </w:tabs>
        <w:ind w:left="700" w:hanging="360"/>
      </w:pPr>
      <w:r>
        <w:t>Estimation du cout des travaux, priorités de réalisation</w:t>
      </w:r>
    </w:p>
    <w:p>
      <w:r>
        <w:rPr>
          <w:noProof/>
        </w:rPr>
        <w:drawing>
          <wp:inline distT="0" distB="0" distL="0" distR="0">
            <wp:extent cx="5972810" cy="781050"/>
            <wp:effectExtent l="19050" t="19050" r="27940" b="1905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972810" cy="781050"/>
                    </a:xfrm>
                    <a:prstGeom prst="rect">
                      <a:avLst/>
                    </a:prstGeom>
                    <a:ln>
                      <a:solidFill>
                        <a:schemeClr val="tx1"/>
                      </a:solidFill>
                    </a:ln>
                  </pic:spPr>
                </pic:pic>
              </a:graphicData>
            </a:graphic>
          </wp:inline>
        </w:drawing>
      </w:r>
      <w:r>
        <w:t xml:space="preserve"> </w:t>
      </w:r>
    </w:p>
    <w:p>
      <w:pPr>
        <w:pStyle w:val="Lgende"/>
      </w:pPr>
      <w:r>
        <w:t>Action 3 - estimation du coût des travaux et priorité de réalisation</w:t>
      </w:r>
    </w:p>
    <w:p>
      <w:pPr>
        <w:pStyle w:val="Titre2"/>
        <w:numPr>
          <w:ilvl w:val="0"/>
          <w:numId w:val="0"/>
        </w:numPr>
        <w:ind w:left="576" w:hanging="576"/>
      </w:pPr>
      <w:bookmarkStart w:id="74" w:name="_Toc46480281"/>
      <w:bookmarkStart w:id="75" w:name="_Toc92353839"/>
      <w:r>
        <w:t>3.3. Thématique 2 : Suppression des eaux claires parasites de temps sec et/ou ressuyage</w:t>
      </w:r>
      <w:bookmarkEnd w:id="74"/>
      <w:bookmarkEnd w:id="75"/>
    </w:p>
    <w:p>
      <w:pPr>
        <w:pStyle w:val="Titre3"/>
        <w:numPr>
          <w:ilvl w:val="0"/>
          <w:numId w:val="0"/>
        </w:numPr>
      </w:pPr>
      <w:bookmarkStart w:id="76" w:name="_Toc46480282"/>
      <w:bookmarkStart w:id="77" w:name="_Toc92353840"/>
      <w:r>
        <w:t>3.3.1. Action n°4 : Réhabilitation ou renouvellement des tronçons responsables d'apports d'eaux claires parasites</w:t>
      </w:r>
      <w:bookmarkEnd w:id="76"/>
      <w:bookmarkEnd w:id="77"/>
    </w:p>
    <w:p>
      <w:pPr>
        <w:pStyle w:val="Retrait1"/>
        <w:tabs>
          <w:tab w:val="clear" w:pos="927"/>
        </w:tabs>
        <w:ind w:left="700" w:hanging="360"/>
      </w:pPr>
      <w:r>
        <w:t>Etat des lieux et objectif de l’action</w:t>
      </w:r>
    </w:p>
    <w:p>
      <w:pPr>
        <w:rPr>
          <w:lang w:eastAsia="x-none"/>
        </w:rPr>
      </w:pPr>
      <w:bookmarkStart w:id="78" w:name="_Toc46480283"/>
      <w:r>
        <w:rPr>
          <w:lang w:eastAsia="x-none"/>
        </w:rPr>
        <w:t xml:space="preserve">Environ 6 500 ml d’inspections télévisées ont été réalisées suite aux investigations nocturnes. Ces inspections ont mis en avant plusieurs tronçons présentant des anomalies pouvant entrainer un risque réel d’infiltration ou de casse. Le renouvellement de ces tronçons de réseaux a pour but : </w:t>
      </w:r>
    </w:p>
    <w:p>
      <w:pPr>
        <w:pStyle w:val="Retrait20"/>
      </w:pPr>
      <w:r>
        <w:t>La réduction des intrusions d’eaux claires de ressuyage ;</w:t>
      </w:r>
    </w:p>
    <w:p>
      <w:pPr>
        <w:pStyle w:val="Retrait20"/>
      </w:pPr>
      <w:r>
        <w:t>La mise en conformité générale du réseau d’assainissement d’un point du vu réglementaire ;</w:t>
      </w:r>
    </w:p>
    <w:p>
      <w:pPr>
        <w:pStyle w:val="Retrait20"/>
      </w:pPr>
      <w:r>
        <w:t>La mise en place d’une gestion patrimoniale.</w:t>
      </w:r>
    </w:p>
    <w:p>
      <w:pPr>
        <w:pStyle w:val="Retrait1"/>
        <w:tabs>
          <w:tab w:val="clear" w:pos="927"/>
        </w:tabs>
        <w:ind w:left="700" w:hanging="360"/>
      </w:pPr>
      <w:r>
        <w:t>Indicateurs et ratios caractéristiques</w:t>
      </w:r>
    </w:p>
    <w:p>
      <w:r>
        <w:rPr>
          <w:noProof/>
        </w:rPr>
        <w:drawing>
          <wp:inline distT="0" distB="0" distL="0" distR="0">
            <wp:extent cx="5972810" cy="1939290"/>
            <wp:effectExtent l="19050" t="19050" r="27940" b="22860"/>
            <wp:docPr id="1362" name="Imag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972810" cy="1939290"/>
                    </a:xfrm>
                    <a:prstGeom prst="rect">
                      <a:avLst/>
                    </a:prstGeom>
                    <a:ln>
                      <a:solidFill>
                        <a:schemeClr val="tx1"/>
                      </a:solidFill>
                    </a:ln>
                  </pic:spPr>
                </pic:pic>
              </a:graphicData>
            </a:graphic>
          </wp:inline>
        </w:drawing>
      </w:r>
    </w:p>
    <w:p>
      <w:pPr>
        <w:pStyle w:val="Lgende"/>
      </w:pPr>
      <w:r>
        <w:t>Action 4 - efficacité de l'action en terme d'élimination d'ECP</w:t>
      </w:r>
    </w:p>
    <w:p>
      <w:pPr>
        <w:pStyle w:val="Retrait1"/>
        <w:tabs>
          <w:tab w:val="clear" w:pos="927"/>
        </w:tabs>
        <w:ind w:left="700" w:hanging="360"/>
      </w:pPr>
      <w:r>
        <w:lastRenderedPageBreak/>
        <w:t>Estimation du cout des travaux, priorités de réalisation</w:t>
      </w:r>
    </w:p>
    <w:p>
      <w:r>
        <w:rPr>
          <w:noProof/>
        </w:rPr>
        <w:drawing>
          <wp:inline distT="0" distB="0" distL="0" distR="0">
            <wp:extent cx="5972810" cy="2153285"/>
            <wp:effectExtent l="19050" t="19050" r="27940" b="18415"/>
            <wp:docPr id="229" name="Imag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972810" cy="2153285"/>
                    </a:xfrm>
                    <a:prstGeom prst="rect">
                      <a:avLst/>
                    </a:prstGeom>
                    <a:ln>
                      <a:solidFill>
                        <a:schemeClr val="tx1"/>
                      </a:solidFill>
                    </a:ln>
                  </pic:spPr>
                </pic:pic>
              </a:graphicData>
            </a:graphic>
          </wp:inline>
        </w:drawing>
      </w:r>
    </w:p>
    <w:p>
      <w:pPr>
        <w:pStyle w:val="Lgende"/>
      </w:pPr>
      <w:r>
        <w:t>Action 4 - estimation du coût des travaux et priorité de réalisation</w:t>
      </w:r>
    </w:p>
    <w:p>
      <w:pPr>
        <w:pStyle w:val="Retrait20"/>
        <w:tabs>
          <w:tab w:val="clear" w:pos="928"/>
          <w:tab w:val="num" w:pos="1324"/>
        </w:tabs>
        <w:ind w:left="1304"/>
      </w:pPr>
      <w:r>
        <w:t>Cout d’élimination de 107€/m</w:t>
      </w:r>
      <w:r>
        <w:rPr>
          <w:vertAlign w:val="superscript"/>
        </w:rPr>
        <w:t>3</w:t>
      </w:r>
      <w:r>
        <w:t>.</w:t>
      </w:r>
    </w:p>
    <w:p>
      <w:pPr>
        <w:pStyle w:val="Titre3"/>
        <w:numPr>
          <w:ilvl w:val="0"/>
          <w:numId w:val="0"/>
        </w:numPr>
      </w:pPr>
      <w:bookmarkStart w:id="79" w:name="_Ref56514671"/>
      <w:bookmarkStart w:id="80" w:name="_Toc92353841"/>
      <w:r>
        <w:t>3.3.2. Action n°5 : Réhabilitation des regards de visite sensibles aux eaux claires parasites</w:t>
      </w:r>
      <w:bookmarkEnd w:id="78"/>
      <w:bookmarkEnd w:id="79"/>
      <w:bookmarkEnd w:id="80"/>
    </w:p>
    <w:p>
      <w:pPr>
        <w:pStyle w:val="Retrait1"/>
        <w:tabs>
          <w:tab w:val="clear" w:pos="927"/>
        </w:tabs>
        <w:ind w:left="700" w:hanging="360"/>
      </w:pPr>
      <w:r>
        <w:t>Etat des lieux et objectif de l’action</w:t>
      </w:r>
    </w:p>
    <w:p>
      <w:pPr>
        <w:rPr>
          <w:lang w:eastAsia="x-none"/>
        </w:rPr>
      </w:pPr>
      <w:r>
        <w:rPr>
          <w:lang w:eastAsia="x-none"/>
        </w:rPr>
        <w:t>Suites aux inspections télévisées, à la reconnaissance du réseau et aux visites nocturnes des réseaux, certains regards de visite ont été identifiés comme vecteur d’infiltration d’eau claire dans le réseau.</w:t>
      </w:r>
    </w:p>
    <w:p>
      <w:pPr>
        <w:rPr>
          <w:rFonts w:cs="Arial"/>
          <w:b/>
        </w:rPr>
      </w:pPr>
      <w:r>
        <w:t>L’action 5 a pour objectif </w:t>
      </w:r>
      <w:r>
        <w:rPr>
          <w:lang w:eastAsia="x-none"/>
        </w:rPr>
        <w:t>de réduire l’infiltration d’eau claire parasite par l’intermédiaire des regards de visite.</w:t>
      </w:r>
    </w:p>
    <w:p>
      <w:pPr>
        <w:pStyle w:val="Retrait1"/>
        <w:tabs>
          <w:tab w:val="clear" w:pos="927"/>
        </w:tabs>
        <w:ind w:left="700" w:hanging="360"/>
      </w:pPr>
      <w:r>
        <w:t>Indicateurs et ratios caractéristiques</w:t>
      </w:r>
    </w:p>
    <w:p>
      <w:pPr>
        <w:keepNext/>
      </w:pPr>
      <w:r>
        <w:rPr>
          <w:noProof/>
        </w:rPr>
        <w:drawing>
          <wp:inline distT="0" distB="0" distL="0" distR="0">
            <wp:extent cx="5972810" cy="609600"/>
            <wp:effectExtent l="19050" t="19050" r="27940" b="19050"/>
            <wp:docPr id="1363" name="Imag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972810" cy="609600"/>
                    </a:xfrm>
                    <a:prstGeom prst="rect">
                      <a:avLst/>
                    </a:prstGeom>
                    <a:ln>
                      <a:solidFill>
                        <a:schemeClr val="tx1"/>
                      </a:solidFill>
                    </a:ln>
                  </pic:spPr>
                </pic:pic>
              </a:graphicData>
            </a:graphic>
          </wp:inline>
        </w:drawing>
      </w:r>
    </w:p>
    <w:p>
      <w:pPr>
        <w:pStyle w:val="Lgende"/>
      </w:pPr>
      <w:r>
        <w:t>Action 5 - efficacité de l'action en terme d'élimination d'ECP</w:t>
      </w:r>
    </w:p>
    <w:p>
      <w:pPr>
        <w:pStyle w:val="Retrait1"/>
        <w:tabs>
          <w:tab w:val="clear" w:pos="927"/>
        </w:tabs>
        <w:ind w:left="700" w:hanging="360"/>
      </w:pPr>
      <w:r>
        <w:t>Estimation du cout des travaux, priorités de réalisation</w:t>
      </w:r>
    </w:p>
    <w:p>
      <w:pPr>
        <w:keepNext/>
      </w:pPr>
      <w:r>
        <w:rPr>
          <w:noProof/>
        </w:rPr>
        <w:drawing>
          <wp:inline distT="0" distB="0" distL="0" distR="0">
            <wp:extent cx="5972810" cy="931545"/>
            <wp:effectExtent l="19050" t="19050" r="27940" b="20955"/>
            <wp:docPr id="1391" name="Imag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972810" cy="931545"/>
                    </a:xfrm>
                    <a:prstGeom prst="rect">
                      <a:avLst/>
                    </a:prstGeom>
                    <a:ln>
                      <a:solidFill>
                        <a:schemeClr val="tx1"/>
                      </a:solidFill>
                    </a:ln>
                  </pic:spPr>
                </pic:pic>
              </a:graphicData>
            </a:graphic>
          </wp:inline>
        </w:drawing>
      </w:r>
    </w:p>
    <w:p>
      <w:pPr>
        <w:pStyle w:val="Lgende"/>
      </w:pPr>
      <w:r>
        <w:t>Action 5 - estimation du coût des travaux et priorité de réalisation</w:t>
      </w:r>
    </w:p>
    <w:p>
      <w:pPr>
        <w:pStyle w:val="Retrait20"/>
        <w:tabs>
          <w:tab w:val="clear" w:pos="928"/>
          <w:tab w:val="num" w:pos="1324"/>
        </w:tabs>
        <w:ind w:left="1304"/>
      </w:pPr>
      <w:r>
        <w:t>Cout d’élimination de 2,9€/m</w:t>
      </w:r>
      <w:r>
        <w:rPr>
          <w:vertAlign w:val="superscript"/>
        </w:rPr>
        <w:t>3</w:t>
      </w:r>
      <w:r>
        <w:t>.</w:t>
      </w:r>
    </w:p>
    <w:p>
      <w:pPr>
        <w:spacing w:before="0"/>
        <w:jc w:val="left"/>
        <w:rPr>
          <w:b/>
          <w:color w:val="333333"/>
          <w:sz w:val="32"/>
        </w:rPr>
      </w:pPr>
      <w:bookmarkStart w:id="81" w:name="_Toc46480284"/>
      <w:r>
        <w:br w:type="page"/>
      </w:r>
    </w:p>
    <w:p>
      <w:pPr>
        <w:pStyle w:val="Titre2"/>
        <w:numPr>
          <w:ilvl w:val="0"/>
          <w:numId w:val="0"/>
        </w:numPr>
      </w:pPr>
      <w:bookmarkStart w:id="82" w:name="_Toc92353842"/>
      <w:r>
        <w:lastRenderedPageBreak/>
        <w:t>3.4. Thématique 3 : Réhabilitation des réseaux et regards de visite</w:t>
      </w:r>
      <w:bookmarkEnd w:id="81"/>
      <w:bookmarkEnd w:id="82"/>
    </w:p>
    <w:p>
      <w:pPr>
        <w:pStyle w:val="Titre3"/>
        <w:numPr>
          <w:ilvl w:val="0"/>
          <w:numId w:val="0"/>
        </w:numPr>
      </w:pPr>
      <w:bookmarkStart w:id="83" w:name="_Toc92353843"/>
      <w:bookmarkStart w:id="84" w:name="_Toc46480285"/>
      <w:r>
        <w:t>3.4.1. Action n°6 : Réhabilitation des réseaux</w:t>
      </w:r>
      <w:bookmarkEnd w:id="83"/>
      <w:r>
        <w:t xml:space="preserve"> </w:t>
      </w:r>
      <w:bookmarkEnd w:id="84"/>
    </w:p>
    <w:p>
      <w:pPr>
        <w:pStyle w:val="Retrait1"/>
        <w:tabs>
          <w:tab w:val="clear" w:pos="927"/>
        </w:tabs>
        <w:ind w:left="700" w:hanging="360"/>
      </w:pPr>
      <w:r>
        <w:t>Etat des lieux et objectif de l’action</w:t>
      </w:r>
    </w:p>
    <w:p>
      <w:r>
        <w:t xml:space="preserve">Les inspectés par ITV ont montrées des anomalies structurelles pouvant entrainer des problèmes d’écoulement (branchements pénétrants). Les branchements pénétrant faisant l’objet d’une suppression ponctuelle sont situés au niveau du quartier La Grand Terre et au niveau du quartier </w:t>
      </w:r>
      <w:proofErr w:type="spellStart"/>
      <w:r>
        <w:t>Montval</w:t>
      </w:r>
      <w:proofErr w:type="spellEnd"/>
      <w:r>
        <w:t xml:space="preserve">. </w:t>
      </w:r>
    </w:p>
    <w:p>
      <w:r>
        <w:t>Les travaux de suppression ponctuelle des branchements pénétrants sont localisés sur le plan du programme de travaux en annexe.</w:t>
      </w:r>
    </w:p>
    <w:p>
      <w:pPr>
        <w:pStyle w:val="Retrait1"/>
        <w:tabs>
          <w:tab w:val="clear" w:pos="927"/>
        </w:tabs>
        <w:ind w:left="700" w:hanging="360"/>
      </w:pPr>
      <w:r>
        <w:t>Indicateurs et ratios caractéristiques</w:t>
      </w:r>
    </w:p>
    <w:p>
      <w:r>
        <w:rPr>
          <w:noProof/>
        </w:rPr>
        <w:drawing>
          <wp:inline distT="0" distB="0" distL="0" distR="0">
            <wp:extent cx="5972810" cy="561975"/>
            <wp:effectExtent l="19050" t="19050" r="27940" b="28575"/>
            <wp:docPr id="237" name="Imag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972810" cy="561975"/>
                    </a:xfrm>
                    <a:prstGeom prst="rect">
                      <a:avLst/>
                    </a:prstGeom>
                    <a:ln>
                      <a:solidFill>
                        <a:schemeClr val="tx1"/>
                      </a:solidFill>
                    </a:ln>
                  </pic:spPr>
                </pic:pic>
              </a:graphicData>
            </a:graphic>
          </wp:inline>
        </w:drawing>
      </w:r>
    </w:p>
    <w:p>
      <w:pPr>
        <w:pStyle w:val="Lgende"/>
      </w:pPr>
      <w:bookmarkStart w:id="85" w:name="_Toc46480608"/>
      <w:r>
        <w:t>Action 6 - efficacité de l'action en terme d'élimination d'ECP</w:t>
      </w:r>
      <w:bookmarkEnd w:id="85"/>
    </w:p>
    <w:p>
      <w:pPr>
        <w:pStyle w:val="Retrait1"/>
        <w:tabs>
          <w:tab w:val="clear" w:pos="927"/>
        </w:tabs>
        <w:ind w:left="700" w:hanging="360"/>
      </w:pPr>
      <w:bookmarkStart w:id="86" w:name="_Toc46480607"/>
      <w:r>
        <w:t>Estimation du cout des travaux, priorités de réalisation</w:t>
      </w:r>
    </w:p>
    <w:p>
      <w:r>
        <w:rPr>
          <w:noProof/>
        </w:rPr>
        <w:drawing>
          <wp:inline distT="0" distB="0" distL="0" distR="0">
            <wp:extent cx="5972810" cy="908050"/>
            <wp:effectExtent l="19050" t="19050" r="27940" b="25400"/>
            <wp:docPr id="238" name="Imag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972810" cy="908050"/>
                    </a:xfrm>
                    <a:prstGeom prst="rect">
                      <a:avLst/>
                    </a:prstGeom>
                    <a:ln>
                      <a:solidFill>
                        <a:schemeClr val="tx1"/>
                      </a:solidFill>
                    </a:ln>
                  </pic:spPr>
                </pic:pic>
              </a:graphicData>
            </a:graphic>
          </wp:inline>
        </w:drawing>
      </w:r>
    </w:p>
    <w:p>
      <w:pPr>
        <w:pStyle w:val="Lgende"/>
      </w:pPr>
      <w:r>
        <w:t xml:space="preserve">Action 6 - </w:t>
      </w:r>
      <w:bookmarkEnd w:id="86"/>
      <w:r>
        <w:t>estimation du coût des travaux et priorité de réalisation</w:t>
      </w:r>
    </w:p>
    <w:p>
      <w:pPr>
        <w:pStyle w:val="Titre3"/>
        <w:numPr>
          <w:ilvl w:val="0"/>
          <w:numId w:val="0"/>
        </w:numPr>
      </w:pPr>
      <w:bookmarkStart w:id="87" w:name="_Toc46480286"/>
      <w:bookmarkStart w:id="88" w:name="_Toc92353844"/>
      <w:r>
        <w:t>3.4.2. Action n°7 : Réhabilitation des regards de visite vétustes non étanches et/ou présentant des anomalies structurelles</w:t>
      </w:r>
      <w:bookmarkEnd w:id="87"/>
      <w:bookmarkEnd w:id="88"/>
    </w:p>
    <w:p>
      <w:pPr>
        <w:pStyle w:val="Retrait1"/>
        <w:tabs>
          <w:tab w:val="clear" w:pos="927"/>
        </w:tabs>
        <w:ind w:left="700" w:hanging="360"/>
      </w:pPr>
      <w:r>
        <w:t>Etat des lieux et objectif de l’action</w:t>
      </w:r>
    </w:p>
    <w:p>
      <w:pPr>
        <w:rPr>
          <w:lang w:eastAsia="x-none"/>
        </w:rPr>
      </w:pPr>
      <w:r>
        <w:rPr>
          <w:lang w:eastAsia="x-none"/>
        </w:rPr>
        <w:t>Un certain nombre de regards de visites présentent des anomalies structurelles. Elles ont été recensées lors des visites de terrain. Les regards fissurés ou subissant des pénétrations de racines doivent faire l’objet d’une opération soit de renouvellement soit d’</w:t>
      </w:r>
      <w:proofErr w:type="spellStart"/>
      <w:r>
        <w:rPr>
          <w:lang w:eastAsia="x-none"/>
        </w:rPr>
        <w:t>étanchéification</w:t>
      </w:r>
      <w:proofErr w:type="spellEnd"/>
      <w:r>
        <w:rPr>
          <w:lang w:eastAsia="x-none"/>
        </w:rPr>
        <w:t xml:space="preserve"> par application d’une résine. Cette mesure concerne 74 regards. Les regards sont classés par priorité :</w:t>
      </w:r>
    </w:p>
    <w:p>
      <w:pPr>
        <w:pStyle w:val="Paragraphedeliste"/>
        <w:numPr>
          <w:ilvl w:val="0"/>
          <w:numId w:val="17"/>
        </w:numPr>
        <w:rPr>
          <w:lang w:eastAsia="x-none"/>
        </w:rPr>
      </w:pPr>
      <w:r>
        <w:rPr>
          <w:lang w:eastAsia="x-none"/>
        </w:rPr>
        <w:t xml:space="preserve">Priorité 1 : regards de visite sensibles aux entrées d’eaux parasites d’infiltration. Ces regards sont recensés dans le chapitre </w:t>
      </w:r>
      <w:r>
        <w:rPr>
          <w:lang w:eastAsia="x-none"/>
        </w:rPr>
        <w:fldChar w:fldCharType="begin"/>
      </w:r>
      <w:r>
        <w:rPr>
          <w:lang w:eastAsia="x-none"/>
        </w:rPr>
        <w:instrText xml:space="preserve"> REF _Ref56514671 \r \h </w:instrText>
      </w:r>
      <w:r>
        <w:rPr>
          <w:lang w:eastAsia="x-none"/>
        </w:rPr>
      </w:r>
      <w:r>
        <w:rPr>
          <w:lang w:eastAsia="x-none"/>
        </w:rPr>
        <w:fldChar w:fldCharType="separate"/>
      </w:r>
      <w:r>
        <w:rPr>
          <w:lang w:eastAsia="x-none"/>
        </w:rPr>
        <w:t>3.3.2</w:t>
      </w:r>
      <w:r>
        <w:rPr>
          <w:lang w:eastAsia="x-none"/>
        </w:rPr>
        <w:fldChar w:fldCharType="end"/>
      </w:r>
      <w:r>
        <w:rPr>
          <w:lang w:eastAsia="x-none"/>
        </w:rPr>
        <w:t xml:space="preserve"> </w:t>
      </w:r>
    </w:p>
    <w:p>
      <w:pPr>
        <w:pStyle w:val="Paragraphedeliste"/>
        <w:numPr>
          <w:ilvl w:val="0"/>
          <w:numId w:val="17"/>
        </w:numPr>
        <w:rPr>
          <w:lang w:eastAsia="x-none"/>
        </w:rPr>
      </w:pPr>
      <w:r>
        <w:rPr>
          <w:lang w:eastAsia="x-none"/>
        </w:rPr>
        <w:t>Priorité 2 : regards de visite potentiellement sensibles aux entrées d’eaux claires parasites. Ils sont classés de mauvais à très mauvais dans le rapport de phase 1.</w:t>
      </w:r>
    </w:p>
    <w:p>
      <w:pPr>
        <w:pStyle w:val="Paragraphedeliste"/>
        <w:numPr>
          <w:ilvl w:val="0"/>
          <w:numId w:val="17"/>
        </w:numPr>
        <w:rPr>
          <w:lang w:eastAsia="x-none"/>
        </w:rPr>
      </w:pPr>
      <w:r>
        <w:rPr>
          <w:lang w:eastAsia="x-none"/>
        </w:rPr>
        <w:t>Priorité 3 : regards de visite potentiellement sensibles aux entrées d’eaux claires parasites. Ils sont classés médiocres dans le rapport de phase 1.</w:t>
      </w:r>
    </w:p>
    <w:p>
      <w:pPr>
        <w:rPr>
          <w:rFonts w:cs="Arial"/>
          <w:b/>
        </w:rPr>
      </w:pPr>
      <w:r>
        <w:rPr>
          <w:lang w:eastAsia="x-none"/>
        </w:rPr>
        <w:t>Cette action a pour but de prévenir les risques d’infiltration.</w:t>
      </w:r>
    </w:p>
    <w:p>
      <w:pPr>
        <w:pStyle w:val="Retrait1"/>
        <w:tabs>
          <w:tab w:val="clear" w:pos="927"/>
        </w:tabs>
        <w:ind w:left="700" w:hanging="360"/>
      </w:pPr>
      <w:r>
        <w:t>Indicateurs et ratios caractéristiques</w:t>
      </w:r>
    </w:p>
    <w:p>
      <w:pPr>
        <w:rPr>
          <w:lang w:eastAsia="x-none"/>
        </w:rPr>
      </w:pPr>
      <w:r>
        <w:rPr>
          <w:lang w:eastAsia="x-none"/>
        </w:rPr>
        <w:t>Non déterminé.</w:t>
      </w:r>
    </w:p>
    <w:p>
      <w:pPr>
        <w:pStyle w:val="Retrait1"/>
        <w:tabs>
          <w:tab w:val="clear" w:pos="927"/>
        </w:tabs>
        <w:ind w:left="700" w:hanging="360"/>
      </w:pPr>
      <w:r>
        <w:t>Estimation du cout des travaux, priorités de réalisation</w:t>
      </w:r>
    </w:p>
    <w:p>
      <w:pPr>
        <w:keepNext/>
      </w:pPr>
      <w:r>
        <w:rPr>
          <w:noProof/>
        </w:rPr>
        <w:drawing>
          <wp:inline distT="0" distB="0" distL="0" distR="0">
            <wp:extent cx="5972810" cy="1016000"/>
            <wp:effectExtent l="19050" t="19050" r="27940" b="12700"/>
            <wp:docPr id="234" name="Imag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972810" cy="1016000"/>
                    </a:xfrm>
                    <a:prstGeom prst="rect">
                      <a:avLst/>
                    </a:prstGeom>
                    <a:ln>
                      <a:solidFill>
                        <a:schemeClr val="tx1"/>
                      </a:solidFill>
                    </a:ln>
                  </pic:spPr>
                </pic:pic>
              </a:graphicData>
            </a:graphic>
          </wp:inline>
        </w:drawing>
      </w:r>
      <w:r>
        <w:t xml:space="preserve">   </w:t>
      </w:r>
    </w:p>
    <w:p>
      <w:pPr>
        <w:pStyle w:val="Lgende"/>
        <w:rPr>
          <w:rFonts w:cs="Arial"/>
        </w:rPr>
      </w:pPr>
      <w:bookmarkStart w:id="89" w:name="_Toc46480609"/>
      <w:r>
        <w:t xml:space="preserve">Action 7 - </w:t>
      </w:r>
      <w:bookmarkEnd w:id="89"/>
      <w:r>
        <w:t>estimation du coût des travaux et priorité de réalisation</w:t>
      </w:r>
      <w:r>
        <w:br w:type="page"/>
      </w:r>
    </w:p>
    <w:p>
      <w:pPr>
        <w:pStyle w:val="Retrait20"/>
        <w:tabs>
          <w:tab w:val="clear" w:pos="928"/>
          <w:tab w:val="num" w:pos="1324"/>
        </w:tabs>
        <w:ind w:left="1304"/>
      </w:pPr>
      <w:r>
        <w:lastRenderedPageBreak/>
        <w:t>Les regards concernés en priorité 2 sont les suivants (numéro issus du SIG) : 956, 957, 959, 960, 961, 1004, 1054, 1074, 1123, 1130, 1133, 1228, 1229, 1241, 1287, 1288, 1289, 1291, 1357, 1358, 1376, 1455, 1461, 1548, 1563, 1567, 1603, 1616, 1657, 1687 et 1691.</w:t>
      </w:r>
    </w:p>
    <w:p>
      <w:pPr>
        <w:pStyle w:val="Retrait20"/>
        <w:tabs>
          <w:tab w:val="clear" w:pos="928"/>
          <w:tab w:val="num" w:pos="1324"/>
        </w:tabs>
        <w:ind w:left="1304"/>
      </w:pPr>
      <w:r>
        <w:t>Les regards concernés en priorité 3 sont les suivants (numéro issus du SIG) : 585, 822, 829, 938, 958, 964, 1003, 1059, 1063, 1125, 1156, 1197, 1207, 1233, 1243, 1278, 1282, 1288, 1343, 1360, 1458, 1565, 1569, 1574, 1642.</w:t>
      </w:r>
    </w:p>
    <w:p>
      <w:pPr>
        <w:pStyle w:val="Titre2"/>
        <w:numPr>
          <w:ilvl w:val="0"/>
          <w:numId w:val="0"/>
        </w:numPr>
      </w:pPr>
      <w:bookmarkStart w:id="90" w:name="_Toc46480287"/>
      <w:bookmarkStart w:id="91" w:name="_Toc92353845"/>
      <w:r>
        <w:t>3.5. Thématique 4 : Réhabilitation des équipements et ouvrages (conformité réglementaire, sécurité et exploitation)</w:t>
      </w:r>
      <w:bookmarkEnd w:id="90"/>
      <w:bookmarkEnd w:id="91"/>
    </w:p>
    <w:p>
      <w:pPr>
        <w:pStyle w:val="Titre3"/>
        <w:numPr>
          <w:ilvl w:val="0"/>
          <w:numId w:val="0"/>
        </w:numPr>
      </w:pPr>
      <w:bookmarkStart w:id="92" w:name="_Toc46480288"/>
      <w:bookmarkStart w:id="93" w:name="_Ref68009849"/>
      <w:bookmarkStart w:id="94" w:name="_Toc92353846"/>
      <w:r>
        <w:t>3.5.1. Action n°8 : Réhabilitation des postes de relevage</w:t>
      </w:r>
      <w:bookmarkEnd w:id="92"/>
      <w:bookmarkEnd w:id="93"/>
      <w:bookmarkEnd w:id="94"/>
    </w:p>
    <w:p>
      <w:pPr>
        <w:pStyle w:val="Retrait1"/>
        <w:tabs>
          <w:tab w:val="clear" w:pos="927"/>
        </w:tabs>
        <w:ind w:left="700" w:hanging="360"/>
      </w:pPr>
      <w:r>
        <w:t>Etat des lieux et objectif de l’action</w:t>
      </w:r>
    </w:p>
    <w:p>
      <w:r>
        <w:t xml:space="preserve">Les visites des postes de relevage ont révélé quelques problèmes de sécurité, d’exploitation et/ou structurels. Les travaux préconisés concernent les postes de Clouterie, Mas de l’Hôpital et </w:t>
      </w:r>
      <w:proofErr w:type="spellStart"/>
      <w:r>
        <w:t>Grand’Terre</w:t>
      </w:r>
      <w:proofErr w:type="spellEnd"/>
      <w:r>
        <w:t>.</w:t>
      </w:r>
    </w:p>
    <w:p>
      <w:pPr>
        <w:pStyle w:val="Retrait1"/>
        <w:tabs>
          <w:tab w:val="clear" w:pos="927"/>
        </w:tabs>
        <w:ind w:left="700" w:hanging="360"/>
      </w:pPr>
      <w:r>
        <w:t>Indicateurs et ratios caractéristiques</w:t>
      </w:r>
    </w:p>
    <w:p>
      <w:pPr>
        <w:rPr>
          <w:lang w:eastAsia="x-none"/>
        </w:rPr>
      </w:pPr>
      <w:r>
        <w:rPr>
          <w:lang w:eastAsia="x-none"/>
        </w:rPr>
        <w:t>Sans objet.</w:t>
      </w:r>
    </w:p>
    <w:p>
      <w:pPr>
        <w:pStyle w:val="Retrait1"/>
        <w:tabs>
          <w:tab w:val="clear" w:pos="927"/>
        </w:tabs>
        <w:ind w:left="700" w:hanging="360"/>
      </w:pPr>
      <w:r>
        <w:t>Estimation du cout des travaux, priorités de réalisation</w:t>
      </w:r>
    </w:p>
    <w:p>
      <w:pPr>
        <w:keepNext/>
      </w:pPr>
      <w:r>
        <w:rPr>
          <w:noProof/>
        </w:rPr>
        <w:drawing>
          <wp:inline distT="0" distB="0" distL="0" distR="0">
            <wp:extent cx="5972810" cy="2045335"/>
            <wp:effectExtent l="19050" t="19050" r="27940" b="12065"/>
            <wp:docPr id="239" name="Imag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972810" cy="2045335"/>
                    </a:xfrm>
                    <a:prstGeom prst="rect">
                      <a:avLst/>
                    </a:prstGeom>
                    <a:ln>
                      <a:solidFill>
                        <a:schemeClr val="tx1"/>
                      </a:solidFill>
                    </a:ln>
                  </pic:spPr>
                </pic:pic>
              </a:graphicData>
            </a:graphic>
          </wp:inline>
        </w:drawing>
      </w:r>
      <w:r>
        <w:t xml:space="preserve">     </w:t>
      </w:r>
    </w:p>
    <w:p>
      <w:pPr>
        <w:pStyle w:val="Lgende"/>
      </w:pPr>
      <w:bookmarkStart w:id="95" w:name="_Toc46480610"/>
      <w:r>
        <w:t xml:space="preserve">Action 8 - </w:t>
      </w:r>
      <w:bookmarkEnd w:id="95"/>
      <w:r>
        <w:t>estimation du coût des travaux et priorité de réalisation</w:t>
      </w:r>
    </w:p>
    <w:p>
      <w:pPr>
        <w:pStyle w:val="Titre3"/>
        <w:numPr>
          <w:ilvl w:val="0"/>
          <w:numId w:val="0"/>
        </w:numPr>
      </w:pPr>
      <w:bookmarkStart w:id="96" w:name="_Toc46480289"/>
      <w:bookmarkStart w:id="97" w:name="_Toc92353847"/>
      <w:r>
        <w:t>3.5.2. Action n°9 : Réhabilitation de l’unité de dépollution</w:t>
      </w:r>
      <w:bookmarkEnd w:id="96"/>
      <w:bookmarkEnd w:id="97"/>
    </w:p>
    <w:p>
      <w:pPr>
        <w:pStyle w:val="Retrait1"/>
        <w:tabs>
          <w:tab w:val="clear" w:pos="927"/>
        </w:tabs>
        <w:ind w:left="700" w:hanging="360"/>
      </w:pPr>
      <w:r>
        <w:t>Etat des lieux et objectif de l’action</w:t>
      </w:r>
    </w:p>
    <w:p>
      <w:r>
        <w:t xml:space="preserve">Les visites de la station de traitement a permis d’établir certaines propositions de travaux à réaliser avec comme objectif une exploitation plus pérenne de la station et la reprise de certains désordres. </w:t>
      </w:r>
    </w:p>
    <w:p>
      <w:pPr>
        <w:pStyle w:val="Retrait1"/>
        <w:tabs>
          <w:tab w:val="clear" w:pos="927"/>
        </w:tabs>
        <w:ind w:left="700" w:hanging="360"/>
      </w:pPr>
      <w:r>
        <w:t>Indicateurs et ratios caractéristiques</w:t>
      </w:r>
    </w:p>
    <w:p>
      <w:pPr>
        <w:pStyle w:val="Retrait20"/>
        <w:tabs>
          <w:tab w:val="clear" w:pos="928"/>
          <w:tab w:val="num" w:pos="1324"/>
        </w:tabs>
        <w:ind w:left="1304"/>
      </w:pPr>
      <w:r>
        <w:t>Conformité performance annuelle du traitement</w:t>
      </w:r>
    </w:p>
    <w:p>
      <w:pPr>
        <w:spacing w:before="0"/>
        <w:jc w:val="left"/>
        <w:rPr>
          <w:rFonts w:cs="Arial"/>
          <w:b/>
        </w:rPr>
      </w:pPr>
    </w:p>
    <w:p>
      <w:pPr>
        <w:spacing w:before="0"/>
        <w:jc w:val="left"/>
        <w:rPr>
          <w:rFonts w:cs="Arial"/>
          <w:b/>
        </w:rPr>
      </w:pPr>
      <w:r>
        <w:br w:type="page"/>
      </w:r>
    </w:p>
    <w:p>
      <w:pPr>
        <w:pStyle w:val="Retrait1"/>
        <w:tabs>
          <w:tab w:val="clear" w:pos="927"/>
        </w:tabs>
        <w:ind w:left="700" w:hanging="360"/>
      </w:pPr>
      <w:r>
        <w:lastRenderedPageBreak/>
        <w:t>Estimation du cout des travaux, priorités de réalisation</w:t>
      </w:r>
    </w:p>
    <w:p>
      <w:pPr>
        <w:keepNext/>
      </w:pPr>
      <w:r>
        <w:rPr>
          <w:noProof/>
        </w:rPr>
        <w:drawing>
          <wp:inline distT="0" distB="0" distL="0" distR="0">
            <wp:extent cx="5972810" cy="2245360"/>
            <wp:effectExtent l="19050" t="19050" r="27940" b="21590"/>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972810" cy="2245360"/>
                    </a:xfrm>
                    <a:prstGeom prst="rect">
                      <a:avLst/>
                    </a:prstGeom>
                    <a:ln>
                      <a:solidFill>
                        <a:schemeClr val="tx1"/>
                      </a:solidFill>
                    </a:ln>
                  </pic:spPr>
                </pic:pic>
              </a:graphicData>
            </a:graphic>
          </wp:inline>
        </w:drawing>
      </w:r>
      <w:r>
        <w:t xml:space="preserve">   </w:t>
      </w:r>
    </w:p>
    <w:p>
      <w:pPr>
        <w:pStyle w:val="Lgende"/>
      </w:pPr>
      <w:bookmarkStart w:id="98" w:name="_Toc46480611"/>
      <w:r>
        <w:t xml:space="preserve">Action 9 - </w:t>
      </w:r>
      <w:bookmarkEnd w:id="98"/>
      <w:r>
        <w:t>estimation du coût des travaux et priorité de réalisation</w:t>
      </w:r>
    </w:p>
    <w:p>
      <w:pPr>
        <w:pStyle w:val="Titre2"/>
        <w:numPr>
          <w:ilvl w:val="0"/>
          <w:numId w:val="0"/>
        </w:numPr>
      </w:pPr>
      <w:bookmarkStart w:id="99" w:name="_Toc46480290"/>
      <w:bookmarkStart w:id="100" w:name="_Toc92353848"/>
      <w:r>
        <w:t>3.6. Thématique 5 : Mise en place d'une gestion patrimoniale</w:t>
      </w:r>
      <w:bookmarkEnd w:id="99"/>
      <w:bookmarkEnd w:id="100"/>
    </w:p>
    <w:p>
      <w:pPr>
        <w:pStyle w:val="Titre3"/>
        <w:numPr>
          <w:ilvl w:val="0"/>
          <w:numId w:val="0"/>
        </w:numPr>
      </w:pPr>
      <w:bookmarkStart w:id="101" w:name="_Toc46480291"/>
      <w:bookmarkStart w:id="102" w:name="_Toc92353849"/>
      <w:r>
        <w:t>3.6.1. Action n°10 : Mise en place d’un diagnostic permanent</w:t>
      </w:r>
      <w:bookmarkEnd w:id="101"/>
      <w:bookmarkEnd w:id="102"/>
    </w:p>
    <w:p>
      <w:pPr>
        <w:spacing w:line="276" w:lineRule="auto"/>
      </w:pPr>
      <w:r>
        <w:t>L’objectif d’un schéma directeur est d’inscrire l’exploitation du réseau et de ces équipements dans une logique durable et de long terme. La mise en place d’un diagnostic permanent vise à mieux comprendre le fonctionnement du réseau pour prévenir les insuffisances actuelles et futures. Ce diagnostic permanent est destiné à :</w:t>
      </w:r>
    </w:p>
    <w:p>
      <w:pPr>
        <w:pStyle w:val="Retrait20"/>
        <w:numPr>
          <w:ilvl w:val="0"/>
          <w:numId w:val="18"/>
        </w:numPr>
        <w:tabs>
          <w:tab w:val="clear" w:pos="928"/>
          <w:tab w:val="num" w:pos="1324"/>
        </w:tabs>
        <w:ind w:left="964" w:hanging="284"/>
      </w:pPr>
      <w:r>
        <w:t>Connaître, en continu, le fonctionnement et l'état structurel du système d'assainissement ;</w:t>
      </w:r>
    </w:p>
    <w:p>
      <w:pPr>
        <w:pStyle w:val="Retrait20"/>
        <w:numPr>
          <w:ilvl w:val="0"/>
          <w:numId w:val="18"/>
        </w:numPr>
        <w:tabs>
          <w:tab w:val="clear" w:pos="928"/>
          <w:tab w:val="num" w:pos="1324"/>
        </w:tabs>
        <w:ind w:left="964" w:hanging="284"/>
      </w:pPr>
      <w:r>
        <w:t>Prévenir ou identifier dans les meilleurs délais les dysfonctionnements de ce système ;</w:t>
      </w:r>
    </w:p>
    <w:p>
      <w:pPr>
        <w:pStyle w:val="Retrait20"/>
        <w:numPr>
          <w:ilvl w:val="0"/>
          <w:numId w:val="18"/>
        </w:numPr>
        <w:tabs>
          <w:tab w:val="clear" w:pos="928"/>
          <w:tab w:val="num" w:pos="1324"/>
        </w:tabs>
        <w:ind w:left="964" w:hanging="284"/>
      </w:pPr>
      <w:r>
        <w:t>Suivre et évaluer l'efficacité des actions préventives ou correctrices engagées ;</w:t>
      </w:r>
    </w:p>
    <w:p>
      <w:pPr>
        <w:pStyle w:val="Retrait20"/>
        <w:numPr>
          <w:ilvl w:val="0"/>
          <w:numId w:val="18"/>
        </w:numPr>
        <w:tabs>
          <w:tab w:val="clear" w:pos="928"/>
          <w:tab w:val="num" w:pos="1324"/>
        </w:tabs>
        <w:ind w:left="964" w:hanging="284"/>
      </w:pPr>
      <w:r>
        <w:t>Exploiter le système d'assainissement dans une logique d'amélioration continue</w:t>
      </w:r>
    </w:p>
    <w:p>
      <w:r>
        <w:t>Le contenu de ce diagnostic permanent est adapté aux caractéristiques et au fonctionnement du système d'assainissement, ainsi qu'à l'impact de ses rejets sur le milieu récepteur. Suivant les besoins et enjeux propres au système, ce diagnostic peut notamment porter sur les points suivants :</w:t>
      </w:r>
    </w:p>
    <w:p>
      <w:pPr>
        <w:pStyle w:val="Retrait20"/>
        <w:numPr>
          <w:ilvl w:val="0"/>
          <w:numId w:val="18"/>
        </w:numPr>
        <w:tabs>
          <w:tab w:val="clear" w:pos="928"/>
          <w:tab w:val="num" w:pos="1324"/>
        </w:tabs>
        <w:ind w:left="964" w:hanging="284"/>
      </w:pPr>
      <w:r>
        <w:t>La gestion des entrants dans le système d'assainissement : connaissance, contrôle et suivi des raccordements domestiques et non domestiques ;</w:t>
      </w:r>
    </w:p>
    <w:p>
      <w:pPr>
        <w:pStyle w:val="Retrait20"/>
        <w:numPr>
          <w:ilvl w:val="0"/>
          <w:numId w:val="18"/>
        </w:numPr>
        <w:tabs>
          <w:tab w:val="clear" w:pos="928"/>
          <w:tab w:val="num" w:pos="1324"/>
        </w:tabs>
        <w:ind w:left="964" w:hanging="284"/>
      </w:pPr>
      <w:r>
        <w:t>L'entretien et la surveillance de l'état structurel du réseau : inspections visuelles ou télévisuelles des ouvrages du système de collecte ;</w:t>
      </w:r>
    </w:p>
    <w:p>
      <w:pPr>
        <w:pStyle w:val="Retrait20"/>
        <w:numPr>
          <w:ilvl w:val="0"/>
          <w:numId w:val="18"/>
        </w:numPr>
        <w:tabs>
          <w:tab w:val="clear" w:pos="928"/>
          <w:tab w:val="num" w:pos="1324"/>
        </w:tabs>
        <w:ind w:left="964" w:hanging="284"/>
      </w:pPr>
      <w:r>
        <w:t>La gestion des flux collectés/transportés et des rejets vers le milieu naturel : installation d'équipements métrologiques et traitement/analyse/valorisation des données obtenues ;</w:t>
      </w:r>
    </w:p>
    <w:p>
      <w:pPr>
        <w:pStyle w:val="Retrait0Bleu"/>
      </w:pPr>
      <w:bookmarkStart w:id="103" w:name="_Toc54170605"/>
      <w:bookmarkStart w:id="104" w:name="_Toc42525108"/>
      <w:bookmarkStart w:id="105" w:name="_Toc37077885"/>
      <w:proofErr w:type="spellStart"/>
      <w:r>
        <w:t>Autosurveillance</w:t>
      </w:r>
      <w:proofErr w:type="spellEnd"/>
      <w:r>
        <w:t xml:space="preserve"> du système de collecte</w:t>
      </w:r>
      <w:bookmarkEnd w:id="103"/>
      <w:bookmarkEnd w:id="104"/>
      <w:bookmarkEnd w:id="105"/>
    </w:p>
    <w:p>
      <w:r>
        <w:t xml:space="preserve">L’arrêté du 31 juillet 2020 précise les critères qui imposent une </w:t>
      </w:r>
      <w:proofErr w:type="spellStart"/>
      <w:r>
        <w:t>autosurveillance</w:t>
      </w:r>
      <w:proofErr w:type="spellEnd"/>
      <w:r>
        <w:t xml:space="preserve"> des systèmes de collecte des eaux usées.</w:t>
      </w:r>
    </w:p>
    <w:p>
      <w:r>
        <w:t>Rappel : Art 17 de l’arrêté du 31 juillet 2020 :</w:t>
      </w:r>
    </w:p>
    <w:p>
      <w:r>
        <w:t xml:space="preserve">« sont soumis à cette </w:t>
      </w:r>
      <w:proofErr w:type="spellStart"/>
      <w:r>
        <w:t>autosurveillance</w:t>
      </w:r>
      <w:proofErr w:type="spellEnd"/>
      <w:r>
        <w:t xml:space="preserve"> les déversoirs d’orage situés à l’aval d’un tronçon destiné à collecter une charge brute de pollution organique par temps sec supérieure ou égale à 120kg/j de DBO</w:t>
      </w:r>
      <w:r>
        <w:rPr>
          <w:vertAlign w:val="subscript"/>
        </w:rPr>
        <w:t>5</w:t>
      </w:r>
      <w:r>
        <w:t>. Cette surveillance consiste à mesurer le temps de déversement journalier et estimer les débits déversés par les déversoirs d’orage surveillés. […] Les trop-pleins équipant un système de collecte séparatif et situés à l'aval d'un tronçon destiné à collecter une charge brute de pollution organique par temps sec supérieure ou égale à 120kg/j de DBO</w:t>
      </w:r>
      <w:r>
        <w:rPr>
          <w:vertAlign w:val="subscript"/>
        </w:rPr>
        <w:t>5</w:t>
      </w:r>
      <w:r>
        <w:t xml:space="preserve"> font l'objet d'une surveillance consistant à mesurer le temps de déversement journalier. »</w:t>
      </w:r>
    </w:p>
    <w:p>
      <w:pPr>
        <w:spacing w:before="0"/>
        <w:jc w:val="left"/>
        <w:rPr>
          <w:rFonts w:cs="Arial"/>
          <w:b/>
        </w:rPr>
      </w:pPr>
      <w:bookmarkStart w:id="106" w:name="_Toc54170606"/>
      <w:bookmarkStart w:id="107" w:name="_Toc42525109"/>
      <w:bookmarkStart w:id="108" w:name="_Toc37077886"/>
      <w:r>
        <w:br w:type="page"/>
      </w:r>
    </w:p>
    <w:p>
      <w:pPr>
        <w:pStyle w:val="Retrait1"/>
      </w:pPr>
      <w:r>
        <w:lastRenderedPageBreak/>
        <w:t>Les postes de relevage</w:t>
      </w:r>
      <w:bookmarkEnd w:id="106"/>
      <w:bookmarkEnd w:id="107"/>
      <w:bookmarkEnd w:id="108"/>
    </w:p>
    <w:p>
      <w:r>
        <w:t>Sur la commune de Garons, les charges brutes journalières transitant par les postes de relevage se trouvent dans le tableau suivant :</w:t>
      </w:r>
    </w:p>
    <w:p/>
    <w:tbl>
      <w:tblPr>
        <w:tblW w:w="0" w:type="auto"/>
        <w:tblInd w:w="250" w:type="dxa"/>
        <w:tblLayout w:type="fixed"/>
        <w:tblLook w:val="04A0" w:firstRow="1" w:lastRow="0" w:firstColumn="1" w:lastColumn="0" w:noHBand="0" w:noVBand="1"/>
      </w:tblPr>
      <w:tblGrid>
        <w:gridCol w:w="2268"/>
        <w:gridCol w:w="1467"/>
        <w:gridCol w:w="1793"/>
        <w:gridCol w:w="1560"/>
        <w:gridCol w:w="1240"/>
        <w:gridCol w:w="1240"/>
      </w:tblGrid>
      <w:tr>
        <w:tc>
          <w:tcPr>
            <w:tcW w:w="2268"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pPr>
              <w:rPr>
                <w:b/>
                <w:color w:val="FFFFFF" w:themeColor="background1"/>
              </w:rPr>
            </w:pPr>
            <w:r>
              <w:rPr>
                <w:b/>
                <w:color w:val="FFFFFF" w:themeColor="background1"/>
              </w:rPr>
              <w:t>Site</w:t>
            </w:r>
          </w:p>
        </w:tc>
        <w:tc>
          <w:tcPr>
            <w:tcW w:w="1467"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pPr>
              <w:jc w:val="center"/>
              <w:rPr>
                <w:b/>
                <w:color w:val="FFFFFF" w:themeColor="background1"/>
              </w:rPr>
            </w:pPr>
            <w:r>
              <w:rPr>
                <w:b/>
                <w:color w:val="FFFFFF" w:themeColor="background1"/>
              </w:rPr>
              <w:t>Année de mise en service</w:t>
            </w:r>
          </w:p>
        </w:tc>
        <w:tc>
          <w:tcPr>
            <w:tcW w:w="1793"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pPr>
              <w:jc w:val="center"/>
              <w:rPr>
                <w:b/>
                <w:color w:val="FFFFFF" w:themeColor="background1"/>
              </w:rPr>
            </w:pPr>
            <w:r>
              <w:rPr>
                <w:b/>
                <w:color w:val="FFFFFF" w:themeColor="background1"/>
              </w:rPr>
              <w:t>Caractéristiques</w:t>
            </w:r>
          </w:p>
        </w:tc>
        <w:tc>
          <w:tcPr>
            <w:tcW w:w="1560"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pPr>
              <w:jc w:val="center"/>
              <w:rPr>
                <w:b/>
                <w:color w:val="FFFFFF" w:themeColor="background1"/>
              </w:rPr>
            </w:pPr>
            <w:r>
              <w:rPr>
                <w:b/>
                <w:color w:val="FFFFFF" w:themeColor="background1"/>
              </w:rPr>
              <w:t>Télésurveillance</w:t>
            </w:r>
          </w:p>
        </w:tc>
        <w:tc>
          <w:tcPr>
            <w:tcW w:w="1240" w:type="dxa"/>
            <w:tcBorders>
              <w:top w:val="single" w:sz="4" w:space="0" w:color="auto"/>
              <w:left w:val="single" w:sz="4" w:space="0" w:color="auto"/>
              <w:bottom w:val="single" w:sz="4" w:space="0" w:color="auto"/>
              <w:right w:val="single" w:sz="4" w:space="0" w:color="auto"/>
            </w:tcBorders>
            <w:shd w:val="clear" w:color="auto" w:fill="8DB3E2" w:themeFill="text2" w:themeFillTint="66"/>
          </w:tcPr>
          <w:p>
            <w:pPr>
              <w:jc w:val="center"/>
              <w:rPr>
                <w:b/>
                <w:color w:val="FFFFFF" w:themeColor="background1"/>
              </w:rPr>
            </w:pPr>
            <w:r>
              <w:rPr>
                <w:b/>
                <w:color w:val="FFFFFF" w:themeColor="background1"/>
              </w:rPr>
              <w:t>Charges théoriques</w:t>
            </w:r>
          </w:p>
        </w:tc>
        <w:tc>
          <w:tcPr>
            <w:tcW w:w="1240" w:type="dxa"/>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pPr>
              <w:jc w:val="center"/>
              <w:rPr>
                <w:b/>
                <w:color w:val="FFFFFF" w:themeColor="background1"/>
              </w:rPr>
            </w:pPr>
            <w:r>
              <w:rPr>
                <w:b/>
                <w:color w:val="FFFFFF" w:themeColor="background1"/>
              </w:rPr>
              <w:t>Trop plein</w:t>
            </w:r>
          </w:p>
        </w:tc>
      </w:tr>
      <w:tr>
        <w:tc>
          <w:tcPr>
            <w:tcW w:w="2268" w:type="dxa"/>
            <w:tcBorders>
              <w:top w:val="single" w:sz="4" w:space="0" w:color="auto"/>
              <w:left w:val="single" w:sz="4" w:space="0" w:color="auto"/>
              <w:bottom w:val="single" w:sz="4" w:space="0" w:color="auto"/>
              <w:right w:val="single" w:sz="4" w:space="0" w:color="auto"/>
            </w:tcBorders>
            <w:hideMark/>
          </w:tcPr>
          <w:p>
            <w:pPr>
              <w:rPr>
                <w:b/>
              </w:rPr>
            </w:pPr>
            <w:r>
              <w:rPr>
                <w:b/>
              </w:rPr>
              <w:t>La Clouterie</w:t>
            </w:r>
          </w:p>
        </w:tc>
        <w:tc>
          <w:tcPr>
            <w:tcW w:w="1467" w:type="dxa"/>
            <w:tcBorders>
              <w:top w:val="single" w:sz="4" w:space="0" w:color="auto"/>
              <w:left w:val="single" w:sz="4" w:space="0" w:color="auto"/>
              <w:bottom w:val="single" w:sz="4" w:space="0" w:color="auto"/>
              <w:right w:val="single" w:sz="4" w:space="0" w:color="auto"/>
            </w:tcBorders>
          </w:tcPr>
          <w:p>
            <w:pPr>
              <w:jc w:val="center"/>
            </w:pPr>
            <w:r>
              <w:t>2000</w:t>
            </w:r>
          </w:p>
        </w:tc>
        <w:tc>
          <w:tcPr>
            <w:tcW w:w="1793" w:type="dxa"/>
            <w:tcBorders>
              <w:top w:val="single" w:sz="4" w:space="0" w:color="auto"/>
              <w:left w:val="single" w:sz="4" w:space="0" w:color="auto"/>
              <w:bottom w:val="single" w:sz="4" w:space="0" w:color="auto"/>
              <w:right w:val="single" w:sz="4" w:space="0" w:color="auto"/>
            </w:tcBorders>
            <w:hideMark/>
          </w:tcPr>
          <w:p>
            <w:pPr>
              <w:jc w:val="center"/>
            </w:pPr>
            <w:r>
              <w:t>2 groupes – 60 m</w:t>
            </w:r>
            <w:r>
              <w:rPr>
                <w:vertAlign w:val="superscript"/>
              </w:rPr>
              <w:t>3</w:t>
            </w:r>
            <w:r>
              <w:t>/h</w:t>
            </w:r>
          </w:p>
        </w:tc>
        <w:tc>
          <w:tcPr>
            <w:tcW w:w="1560" w:type="dxa"/>
            <w:tcBorders>
              <w:top w:val="single" w:sz="4" w:space="0" w:color="auto"/>
              <w:left w:val="single" w:sz="4" w:space="0" w:color="auto"/>
              <w:bottom w:val="single" w:sz="4" w:space="0" w:color="auto"/>
              <w:right w:val="single" w:sz="4" w:space="0" w:color="auto"/>
            </w:tcBorders>
            <w:hideMark/>
          </w:tcPr>
          <w:p>
            <w:pPr>
              <w:jc w:val="center"/>
            </w:pPr>
            <w:proofErr w:type="spellStart"/>
            <w:r>
              <w:t>Sofrel</w:t>
            </w:r>
            <w:proofErr w:type="spellEnd"/>
            <w:r>
              <w:t xml:space="preserve"> S550</w:t>
            </w:r>
          </w:p>
        </w:tc>
        <w:tc>
          <w:tcPr>
            <w:tcW w:w="1240" w:type="dxa"/>
            <w:tcBorders>
              <w:top w:val="single" w:sz="4" w:space="0" w:color="auto"/>
              <w:left w:val="single" w:sz="4" w:space="0" w:color="auto"/>
              <w:bottom w:val="single" w:sz="4" w:space="0" w:color="auto"/>
              <w:right w:val="single" w:sz="4" w:space="0" w:color="auto"/>
            </w:tcBorders>
          </w:tcPr>
          <w:p>
            <w:pPr>
              <w:jc w:val="center"/>
            </w:pPr>
            <w:r>
              <w:t>9,4 kgDBO</w:t>
            </w:r>
            <w:r>
              <w:rPr>
                <w:vertAlign w:val="subscript"/>
              </w:rPr>
              <w:t>5</w:t>
            </w:r>
            <w:r>
              <w:t>/j</w:t>
            </w:r>
          </w:p>
        </w:tc>
        <w:tc>
          <w:tcPr>
            <w:tcW w:w="1240" w:type="dxa"/>
            <w:tcBorders>
              <w:top w:val="single" w:sz="4" w:space="0" w:color="auto"/>
              <w:left w:val="single" w:sz="4" w:space="0" w:color="auto"/>
              <w:bottom w:val="single" w:sz="4" w:space="0" w:color="auto"/>
              <w:right w:val="single" w:sz="4" w:space="0" w:color="auto"/>
            </w:tcBorders>
            <w:hideMark/>
          </w:tcPr>
          <w:p>
            <w:pPr>
              <w:jc w:val="center"/>
            </w:pPr>
            <w:r>
              <w:t>Non</w:t>
            </w:r>
          </w:p>
        </w:tc>
      </w:tr>
      <w:tr>
        <w:tc>
          <w:tcPr>
            <w:tcW w:w="2268" w:type="dxa"/>
            <w:tcBorders>
              <w:top w:val="single" w:sz="4" w:space="0" w:color="auto"/>
              <w:left w:val="single" w:sz="4" w:space="0" w:color="auto"/>
              <w:bottom w:val="single" w:sz="4" w:space="0" w:color="auto"/>
              <w:right w:val="single" w:sz="4" w:space="0" w:color="auto"/>
            </w:tcBorders>
            <w:hideMark/>
          </w:tcPr>
          <w:p>
            <w:pPr>
              <w:rPr>
                <w:b/>
              </w:rPr>
            </w:pPr>
            <w:r>
              <w:rPr>
                <w:b/>
              </w:rPr>
              <w:t>Mas de l'Hôpital</w:t>
            </w:r>
          </w:p>
        </w:tc>
        <w:tc>
          <w:tcPr>
            <w:tcW w:w="1467" w:type="dxa"/>
            <w:tcBorders>
              <w:top w:val="single" w:sz="4" w:space="0" w:color="auto"/>
              <w:left w:val="single" w:sz="4" w:space="0" w:color="auto"/>
              <w:bottom w:val="single" w:sz="4" w:space="0" w:color="auto"/>
              <w:right w:val="single" w:sz="4" w:space="0" w:color="auto"/>
            </w:tcBorders>
          </w:tcPr>
          <w:p>
            <w:pPr>
              <w:jc w:val="center"/>
            </w:pPr>
            <w:r>
              <w:t>1992</w:t>
            </w:r>
          </w:p>
        </w:tc>
        <w:tc>
          <w:tcPr>
            <w:tcW w:w="1793" w:type="dxa"/>
            <w:tcBorders>
              <w:top w:val="single" w:sz="4" w:space="0" w:color="auto"/>
              <w:left w:val="single" w:sz="4" w:space="0" w:color="auto"/>
              <w:bottom w:val="single" w:sz="4" w:space="0" w:color="auto"/>
              <w:right w:val="single" w:sz="4" w:space="0" w:color="auto"/>
            </w:tcBorders>
            <w:hideMark/>
          </w:tcPr>
          <w:p>
            <w:pPr>
              <w:jc w:val="center"/>
            </w:pPr>
            <w:r>
              <w:t>2 groupes – 30 m</w:t>
            </w:r>
            <w:r>
              <w:rPr>
                <w:vertAlign w:val="superscript"/>
              </w:rPr>
              <w:t>3</w:t>
            </w:r>
            <w:r>
              <w:t>/h</w:t>
            </w:r>
          </w:p>
        </w:tc>
        <w:tc>
          <w:tcPr>
            <w:tcW w:w="1560" w:type="dxa"/>
            <w:tcBorders>
              <w:top w:val="single" w:sz="4" w:space="0" w:color="auto"/>
              <w:left w:val="single" w:sz="4" w:space="0" w:color="auto"/>
              <w:bottom w:val="single" w:sz="4" w:space="0" w:color="auto"/>
              <w:right w:val="single" w:sz="4" w:space="0" w:color="auto"/>
            </w:tcBorders>
            <w:hideMark/>
          </w:tcPr>
          <w:p>
            <w:pPr>
              <w:jc w:val="center"/>
            </w:pPr>
            <w:proofErr w:type="spellStart"/>
            <w:r>
              <w:t>Sofrel</w:t>
            </w:r>
            <w:proofErr w:type="spellEnd"/>
            <w:r>
              <w:t xml:space="preserve"> S550</w:t>
            </w:r>
          </w:p>
        </w:tc>
        <w:tc>
          <w:tcPr>
            <w:tcW w:w="1240" w:type="dxa"/>
            <w:tcBorders>
              <w:top w:val="single" w:sz="4" w:space="0" w:color="auto"/>
              <w:left w:val="single" w:sz="4" w:space="0" w:color="auto"/>
              <w:bottom w:val="single" w:sz="4" w:space="0" w:color="auto"/>
              <w:right w:val="single" w:sz="4" w:space="0" w:color="auto"/>
            </w:tcBorders>
          </w:tcPr>
          <w:p>
            <w:pPr>
              <w:jc w:val="center"/>
            </w:pPr>
            <w:r>
              <w:t>&lt;1 kgDBO</w:t>
            </w:r>
            <w:r>
              <w:rPr>
                <w:vertAlign w:val="subscript"/>
              </w:rPr>
              <w:t>5</w:t>
            </w:r>
            <w:r>
              <w:t>/j</w:t>
            </w:r>
          </w:p>
        </w:tc>
        <w:tc>
          <w:tcPr>
            <w:tcW w:w="1240" w:type="dxa"/>
            <w:tcBorders>
              <w:top w:val="single" w:sz="4" w:space="0" w:color="auto"/>
              <w:left w:val="single" w:sz="4" w:space="0" w:color="auto"/>
              <w:bottom w:val="single" w:sz="4" w:space="0" w:color="auto"/>
              <w:right w:val="single" w:sz="4" w:space="0" w:color="auto"/>
            </w:tcBorders>
            <w:hideMark/>
          </w:tcPr>
          <w:p>
            <w:pPr>
              <w:jc w:val="center"/>
            </w:pPr>
            <w:r>
              <w:t>Non</w:t>
            </w:r>
          </w:p>
        </w:tc>
      </w:tr>
      <w:tr>
        <w:tc>
          <w:tcPr>
            <w:tcW w:w="2268" w:type="dxa"/>
            <w:tcBorders>
              <w:top w:val="single" w:sz="4" w:space="0" w:color="auto"/>
              <w:left w:val="single" w:sz="4" w:space="0" w:color="auto"/>
              <w:bottom w:val="single" w:sz="4" w:space="0" w:color="auto"/>
              <w:right w:val="single" w:sz="4" w:space="0" w:color="auto"/>
            </w:tcBorders>
            <w:hideMark/>
          </w:tcPr>
          <w:p>
            <w:pPr>
              <w:rPr>
                <w:b/>
              </w:rPr>
            </w:pPr>
            <w:r>
              <w:rPr>
                <w:b/>
              </w:rPr>
              <w:t xml:space="preserve">La </w:t>
            </w:r>
            <w:proofErr w:type="spellStart"/>
            <w:r>
              <w:rPr>
                <w:b/>
              </w:rPr>
              <w:t>Grand’Terre</w:t>
            </w:r>
            <w:proofErr w:type="spellEnd"/>
          </w:p>
        </w:tc>
        <w:tc>
          <w:tcPr>
            <w:tcW w:w="1467" w:type="dxa"/>
            <w:tcBorders>
              <w:top w:val="single" w:sz="4" w:space="0" w:color="auto"/>
              <w:left w:val="single" w:sz="4" w:space="0" w:color="auto"/>
              <w:bottom w:val="single" w:sz="4" w:space="0" w:color="auto"/>
              <w:right w:val="single" w:sz="4" w:space="0" w:color="auto"/>
            </w:tcBorders>
          </w:tcPr>
          <w:p>
            <w:pPr>
              <w:jc w:val="center"/>
            </w:pPr>
            <w:r>
              <w:t>inconnu</w:t>
            </w:r>
          </w:p>
        </w:tc>
        <w:tc>
          <w:tcPr>
            <w:tcW w:w="1793" w:type="dxa"/>
            <w:tcBorders>
              <w:top w:val="single" w:sz="4" w:space="0" w:color="auto"/>
              <w:left w:val="single" w:sz="4" w:space="0" w:color="auto"/>
              <w:bottom w:val="single" w:sz="4" w:space="0" w:color="auto"/>
              <w:right w:val="single" w:sz="4" w:space="0" w:color="auto"/>
            </w:tcBorders>
            <w:hideMark/>
          </w:tcPr>
          <w:p>
            <w:pPr>
              <w:jc w:val="center"/>
            </w:pPr>
            <w:r>
              <w:t>1 groupe – 25 m</w:t>
            </w:r>
            <w:r>
              <w:rPr>
                <w:vertAlign w:val="superscript"/>
              </w:rPr>
              <w:t>3</w:t>
            </w:r>
            <w:r>
              <w:t>/h</w:t>
            </w:r>
          </w:p>
        </w:tc>
        <w:tc>
          <w:tcPr>
            <w:tcW w:w="1560" w:type="dxa"/>
            <w:tcBorders>
              <w:top w:val="single" w:sz="4" w:space="0" w:color="auto"/>
              <w:left w:val="single" w:sz="4" w:space="0" w:color="auto"/>
              <w:bottom w:val="single" w:sz="4" w:space="0" w:color="auto"/>
              <w:right w:val="single" w:sz="4" w:space="0" w:color="auto"/>
            </w:tcBorders>
            <w:hideMark/>
          </w:tcPr>
          <w:p>
            <w:pPr>
              <w:jc w:val="center"/>
            </w:pPr>
            <w:r>
              <w:t>aucun</w:t>
            </w:r>
          </w:p>
        </w:tc>
        <w:tc>
          <w:tcPr>
            <w:tcW w:w="1240" w:type="dxa"/>
            <w:tcBorders>
              <w:top w:val="single" w:sz="4" w:space="0" w:color="auto"/>
              <w:left w:val="single" w:sz="4" w:space="0" w:color="auto"/>
              <w:bottom w:val="single" w:sz="4" w:space="0" w:color="auto"/>
              <w:right w:val="single" w:sz="4" w:space="0" w:color="auto"/>
            </w:tcBorders>
          </w:tcPr>
          <w:p>
            <w:pPr>
              <w:jc w:val="center"/>
            </w:pPr>
            <w:r>
              <w:t>5 kgDBO</w:t>
            </w:r>
            <w:r>
              <w:rPr>
                <w:vertAlign w:val="subscript"/>
              </w:rPr>
              <w:t>5</w:t>
            </w:r>
            <w:r>
              <w:t>/</w:t>
            </w:r>
          </w:p>
        </w:tc>
        <w:tc>
          <w:tcPr>
            <w:tcW w:w="1240" w:type="dxa"/>
            <w:tcBorders>
              <w:top w:val="single" w:sz="4" w:space="0" w:color="auto"/>
              <w:left w:val="single" w:sz="4" w:space="0" w:color="auto"/>
              <w:bottom w:val="single" w:sz="4" w:space="0" w:color="auto"/>
              <w:right w:val="single" w:sz="4" w:space="0" w:color="auto"/>
            </w:tcBorders>
            <w:hideMark/>
          </w:tcPr>
          <w:p>
            <w:pPr>
              <w:jc w:val="center"/>
            </w:pPr>
            <w:r>
              <w:t>Non</w:t>
            </w:r>
          </w:p>
        </w:tc>
      </w:tr>
    </w:tbl>
    <w:p>
      <w:pPr>
        <w:pStyle w:val="Lgende"/>
        <w:jc w:val="center"/>
        <w:rPr>
          <w:szCs w:val="20"/>
        </w:rPr>
      </w:pPr>
      <w:bookmarkStart w:id="109" w:name="_Toc47096678"/>
      <w:r>
        <w:rPr>
          <w:szCs w:val="20"/>
        </w:rPr>
        <w:t xml:space="preserve"> Inventaire des Postes de refoulement</w:t>
      </w:r>
      <w:bookmarkEnd w:id="109"/>
      <w:r>
        <w:t> </w:t>
      </w:r>
    </w:p>
    <w:p>
      <w:pPr>
        <w:spacing w:line="276" w:lineRule="auto"/>
      </w:pPr>
      <w:r>
        <w:t>Ce tableau indique qu’aucun poste de refoulement n’est soumis à l’</w:t>
      </w:r>
      <w:proofErr w:type="spellStart"/>
      <w:r>
        <w:t>autosurveillance</w:t>
      </w:r>
      <w:proofErr w:type="spellEnd"/>
      <w:r>
        <w:t xml:space="preserve"> car ils n’ont pas de trop plein. En effet, à l’heure actuelle, la mise en charge du poste entraîne une mise en charge des réseaux en amont.</w:t>
      </w:r>
    </w:p>
    <w:p>
      <w:pPr>
        <w:pStyle w:val="Retrait1"/>
      </w:pPr>
      <w:bookmarkStart w:id="110" w:name="_Toc54170607"/>
      <w:bookmarkStart w:id="111" w:name="_Toc42525110"/>
      <w:bookmarkStart w:id="112" w:name="_Toc37077887"/>
      <w:r>
        <w:t>La station de traitement des eaux usées</w:t>
      </w:r>
      <w:bookmarkEnd w:id="110"/>
      <w:bookmarkEnd w:id="111"/>
      <w:bookmarkEnd w:id="112"/>
    </w:p>
    <w:p>
      <w:pPr>
        <w:spacing w:line="276" w:lineRule="auto"/>
      </w:pPr>
      <w:r>
        <w:t xml:space="preserve">Le déversoir d’orage situé en amont de la STEP fait déjà l’objet d’une </w:t>
      </w:r>
      <w:proofErr w:type="spellStart"/>
      <w:r>
        <w:t>autosurveillance</w:t>
      </w:r>
      <w:proofErr w:type="spellEnd"/>
      <w:r>
        <w:t>. Les équipements de la station sont conformes aux obligations d’</w:t>
      </w:r>
      <w:proofErr w:type="spellStart"/>
      <w:r>
        <w:t>autosurveillance</w:t>
      </w:r>
      <w:proofErr w:type="spellEnd"/>
      <w:r>
        <w:t xml:space="preserve"> au sens de l’arrêté du 21 juillet 2015 (modifié par l’arrêté du 31 juillet 2020).</w:t>
      </w:r>
    </w:p>
    <w:p>
      <w:pPr>
        <w:pStyle w:val="Retrait0Bleu"/>
      </w:pPr>
      <w:bookmarkStart w:id="113" w:name="_Toc42525111"/>
      <w:bookmarkStart w:id="114" w:name="_Toc37077888"/>
      <w:bookmarkStart w:id="115" w:name="_Toc54170608"/>
      <w:r>
        <w:t>Conclusion sur l’</w:t>
      </w:r>
      <w:proofErr w:type="spellStart"/>
      <w:r>
        <w:t>autosurveillance</w:t>
      </w:r>
      <w:proofErr w:type="spellEnd"/>
      <w:r>
        <w:t xml:space="preserve"> des réseaux</w:t>
      </w:r>
      <w:bookmarkEnd w:id="113"/>
      <w:bookmarkEnd w:id="114"/>
      <w:r>
        <w:t xml:space="preserve"> et complétude du diagnostic permanent</w:t>
      </w:r>
      <w:bookmarkEnd w:id="115"/>
    </w:p>
    <w:p>
      <w:pPr>
        <w:spacing w:line="276" w:lineRule="auto"/>
      </w:pPr>
      <w:r>
        <w:t>Les réseaux de la commune de Garons sont conformes à l’arrêté du 31 juillet 2020. Les déversoirs qui reçoivent plus de 120 kg/j de DBO</w:t>
      </w:r>
      <w:r>
        <w:rPr>
          <w:vertAlign w:val="subscript"/>
        </w:rPr>
        <w:t>5</w:t>
      </w:r>
      <w:r>
        <w:t xml:space="preserve"> sont déjà soumis à </w:t>
      </w:r>
      <w:proofErr w:type="spellStart"/>
      <w:r>
        <w:t>autosurveillance</w:t>
      </w:r>
      <w:proofErr w:type="spellEnd"/>
      <w:r>
        <w:t>. Néanmoins, il est conseillé de mettre en place un certain nombre de points de mesures permanents sur le réseau. Ces mesures permettront de mieux appréhender les secteurs présentant des surcharges hydrauliques.</w:t>
      </w:r>
    </w:p>
    <w:p>
      <w:pPr>
        <w:pStyle w:val="Retrait1"/>
        <w:numPr>
          <w:ilvl w:val="0"/>
          <w:numId w:val="19"/>
        </w:numPr>
        <w:tabs>
          <w:tab w:val="clear" w:pos="927"/>
        </w:tabs>
        <w:ind w:left="700" w:hanging="360"/>
      </w:pPr>
      <w:r>
        <w:t>Mise en place de points de mesure permanents pour le suivi des charges hydrauliques</w:t>
      </w:r>
    </w:p>
    <w:p>
      <w:r>
        <w:t>La mise en place de points de mesure permanents est recommandée dans le cadre de l’</w:t>
      </w:r>
      <w:proofErr w:type="spellStart"/>
      <w:r>
        <w:t>autosurveillance</w:t>
      </w:r>
      <w:proofErr w:type="spellEnd"/>
      <w:r>
        <w:t xml:space="preserve"> du réseau de Garons. Ces points pourraient se situer au niveau des points de mesure numéro 4 et 5 de la campagne de mesure. Ils sont situés au niveau </w:t>
      </w:r>
      <w:proofErr w:type="gramStart"/>
      <w:r>
        <w:t>du regard</w:t>
      </w:r>
      <w:proofErr w:type="gramEnd"/>
      <w:r>
        <w:t xml:space="preserve"> 1232 et 1426 sur le SIG. La mesure des charges hydrauliques au niveau de ces points permettrait de sectoriser Mitra et le village de Garons. Le dispositif préconisé est de type hauteur-vitesse.</w:t>
      </w:r>
    </w:p>
    <w:p>
      <w:pPr>
        <w:keepNext/>
        <w:spacing w:before="0"/>
        <w:jc w:val="center"/>
      </w:pPr>
      <w:r>
        <w:rPr>
          <w:noProof/>
        </w:rPr>
        <mc:AlternateContent>
          <mc:Choice Requires="wps">
            <w:drawing>
              <wp:anchor distT="0" distB="0" distL="114300" distR="114300" simplePos="0" relativeHeight="251829248" behindDoc="0" locked="0" layoutInCell="1" allowOverlap="1">
                <wp:simplePos x="0" y="0"/>
                <wp:positionH relativeFrom="column">
                  <wp:posOffset>3636645</wp:posOffset>
                </wp:positionH>
                <wp:positionV relativeFrom="paragraph">
                  <wp:posOffset>3076575</wp:posOffset>
                </wp:positionV>
                <wp:extent cx="1271905" cy="413385"/>
                <wp:effectExtent l="19050" t="57150" r="23495" b="24765"/>
                <wp:wrapNone/>
                <wp:docPr id="12" name="Connecteur droit avec flèche 12"/>
                <wp:cNvGraphicFramePr/>
                <a:graphic xmlns:a="http://schemas.openxmlformats.org/drawingml/2006/main">
                  <a:graphicData uri="http://schemas.microsoft.com/office/word/2010/wordprocessingShape">
                    <wps:wsp>
                      <wps:cNvCnPr/>
                      <wps:spPr>
                        <a:xfrm flipH="1" flipV="1">
                          <a:off x="0" y="0"/>
                          <a:ext cx="1271905" cy="413385"/>
                        </a:xfrm>
                        <a:prstGeom prst="straightConnector1">
                          <a:avLst/>
                        </a:prstGeom>
                        <a:ln w="38100">
                          <a:solidFill>
                            <a:srgbClr val="FF0000"/>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Connecteur droit avec flèche 12" o:spid="_x0000_s1026" type="#_x0000_t32" style="position:absolute;margin-left:286.35pt;margin-top:242.25pt;width:100.15pt;height:32.55pt;flip:x y;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" strokecolor="red" strokeweight="3pt">
                <v:stroke endarrow="block"/>
              </v:shape>
            </w:pict>
          </mc:Fallback>
        </mc:AlternateContent>
      </w:r>
      <w:r>
        <w:rPr>
          <w:noProof/>
        </w:rPr>
        <mc:AlternateContent>
          <mc:Choice Requires="wps">
            <w:drawing>
              <wp:anchor distT="0" distB="0" distL="114300" distR="114300" simplePos="0" relativeHeight="251853824" behindDoc="0" locked="0" layoutInCell="1" allowOverlap="1">
                <wp:simplePos x="0" y="0"/>
                <wp:positionH relativeFrom="column">
                  <wp:posOffset>4909323</wp:posOffset>
                </wp:positionH>
                <wp:positionV relativeFrom="paragraph">
                  <wp:posOffset>3285683</wp:posOffset>
                </wp:positionV>
                <wp:extent cx="1250315" cy="451485"/>
                <wp:effectExtent l="0" t="0" r="6985" b="5715"/>
                <wp:wrapNone/>
                <wp:docPr id="2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0315" cy="451485"/>
                        </a:xfrm>
                        <a:prstGeom prst="rect">
                          <a:avLst/>
                        </a:prstGeom>
                        <a:solidFill>
                          <a:srgbClr val="FFFFFF"/>
                        </a:solidFill>
                        <a:ln w="9525">
                          <a:noFill/>
                          <a:miter lim="800000"/>
                          <a:headEnd/>
                          <a:tailEnd/>
                        </a:ln>
                      </wps:spPr>
                      <wps:txbx>
                        <w:txbxContent>
                          <w:p>
                            <w:r>
                              <w:t>Regard 1426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3" type="#_x0000_t202" style="position:absolute;left:0;text-align:left;margin-left:386.55pt;margin-top:258.7pt;width:98.45pt;height:35.55pt;z-index:25185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" stroked="f">
                <v:textbox>
                  <w:txbxContent>
                    <w:p>
                      <w:r>
                        <w:t>Regard 1426</w:t>
                      </w:r>
                    </w:p>
                  </w:txbxContent>
                </v:textbox>
              </v:shape>
            </w:pict>
          </mc:Fallback>
        </mc:AlternateContent>
      </w:r>
      <w:r>
        <w:rPr>
          <w:noProof/>
        </w:rPr>
        <mc:AlternateContent>
          <mc:Choice Requires="wps">
            <w:drawing>
              <wp:anchor distT="0" distB="0" distL="114300" distR="114300" simplePos="0" relativeHeight="251816960" behindDoc="0" locked="0" layoutInCell="1" allowOverlap="1">
                <wp:simplePos x="0" y="0"/>
                <wp:positionH relativeFrom="column">
                  <wp:posOffset>3771900</wp:posOffset>
                </wp:positionH>
                <wp:positionV relativeFrom="paragraph">
                  <wp:posOffset>1287780</wp:posOffset>
                </wp:positionV>
                <wp:extent cx="1136650" cy="546100"/>
                <wp:effectExtent l="38100" t="19050" r="25400" b="44450"/>
                <wp:wrapNone/>
                <wp:docPr id="10" name="Connecteur droit avec flèche 10"/>
                <wp:cNvGraphicFramePr/>
                <a:graphic xmlns:a="http://schemas.openxmlformats.org/drawingml/2006/main">
                  <a:graphicData uri="http://schemas.microsoft.com/office/word/2010/wordprocessingShape">
                    <wps:wsp>
                      <wps:cNvCnPr/>
                      <wps:spPr>
                        <a:xfrm flipH="1">
                          <a:off x="0" y="0"/>
                          <a:ext cx="1136650" cy="546100"/>
                        </a:xfrm>
                        <a:prstGeom prst="straightConnector1">
                          <a:avLst/>
                        </a:prstGeom>
                        <a:ln w="38100">
                          <a:solidFill>
                            <a:srgbClr val="FF0000"/>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Connecteur droit avec flèche 10" o:spid="_x0000_s1026" type="#_x0000_t32" style="position:absolute;margin-left:297pt;margin-top:101.4pt;width:89.5pt;height:43pt;flip:x;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" strokecolor="red" strokeweight="3pt">
                <v:stroke endarrow="block"/>
              </v:shape>
            </w:pict>
          </mc:Fallback>
        </mc:AlternateContent>
      </w:r>
      <w:r>
        <w:rPr>
          <w:noProof/>
        </w:rPr>
        <mc:AlternateContent>
          <mc:Choice Requires="wps">
            <w:drawing>
              <wp:anchor distT="0" distB="0" distL="114300" distR="114300" simplePos="0" relativeHeight="251841536" behindDoc="0" locked="0" layoutInCell="1" allowOverlap="1">
                <wp:simplePos x="0" y="0"/>
                <wp:positionH relativeFrom="column">
                  <wp:posOffset>4908661</wp:posOffset>
                </wp:positionH>
                <wp:positionV relativeFrom="paragraph">
                  <wp:posOffset>1080577</wp:posOffset>
                </wp:positionV>
                <wp:extent cx="1250509" cy="451651"/>
                <wp:effectExtent l="0" t="0" r="6985" b="5715"/>
                <wp:wrapNone/>
                <wp:docPr id="2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0509" cy="451651"/>
                        </a:xfrm>
                        <a:prstGeom prst="rect">
                          <a:avLst/>
                        </a:prstGeom>
                        <a:solidFill>
                          <a:srgbClr val="FFFFFF"/>
                        </a:solidFill>
                        <a:ln w="9525">
                          <a:noFill/>
                          <a:miter lim="800000"/>
                          <a:headEnd/>
                          <a:tailEnd/>
                        </a:ln>
                      </wps:spPr>
                      <wps:txbx>
                        <w:txbxContent>
                          <w:p>
                            <w:r>
                              <w:t>Regard 1232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4" type="#_x0000_t202" style="position:absolute;left:0;text-align:left;margin-left:386.5pt;margin-top:85.1pt;width:98.45pt;height:35.55pt;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" stroked="f">
                <v:textbox>
                  <w:txbxContent>
                    <w:p>
                      <w:r>
                        <w:t>Regard 1232</w:t>
                      </w:r>
                    </w:p>
                  </w:txbxContent>
                </v:textbox>
              </v:shape>
            </w:pict>
          </mc:Fallback>
        </mc:AlternateContent>
      </w:r>
      <w:r>
        <w:rPr>
          <w:noProof/>
        </w:rPr>
        <w:t xml:space="preserve"> </w:t>
      </w:r>
      <w:r>
        <w:rPr>
          <w:noProof/>
        </w:rPr>
        <w:drawing>
          <wp:inline distT="0" distB="0" distL="0" distR="0">
            <wp:extent cx="3339724" cy="3719998"/>
            <wp:effectExtent l="19050" t="19050" r="13335" b="1397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3345044" cy="3725924"/>
                    </a:xfrm>
                    <a:prstGeom prst="rect">
                      <a:avLst/>
                    </a:prstGeom>
                    <a:ln>
                      <a:solidFill>
                        <a:schemeClr val="tx1"/>
                      </a:solidFill>
                    </a:ln>
                  </pic:spPr>
                </pic:pic>
              </a:graphicData>
            </a:graphic>
          </wp:inline>
        </w:drawing>
      </w:r>
    </w:p>
    <w:p>
      <w:pPr>
        <w:pStyle w:val="Lgende"/>
        <w:rPr>
          <w:szCs w:val="20"/>
        </w:rPr>
      </w:pPr>
      <w:bookmarkStart w:id="116" w:name="_Toc54170601"/>
      <w:r>
        <w:rPr>
          <w:szCs w:val="20"/>
        </w:rPr>
        <w:t xml:space="preserve">                                    Localisation des points de mesure permanents pour le suivi des charges hydrauliques</w:t>
      </w:r>
      <w:bookmarkEnd w:id="116"/>
    </w:p>
    <w:p>
      <w:pPr>
        <w:pStyle w:val="Retrait1"/>
        <w:numPr>
          <w:ilvl w:val="0"/>
          <w:numId w:val="19"/>
        </w:numPr>
        <w:tabs>
          <w:tab w:val="clear" w:pos="927"/>
        </w:tabs>
        <w:ind w:left="700" w:hanging="360"/>
      </w:pPr>
      <w:r>
        <w:br w:type="page"/>
      </w:r>
      <w:r>
        <w:lastRenderedPageBreak/>
        <w:t xml:space="preserve"> Mise en place d’un pluviomètre enregistreur – STEU</w:t>
      </w:r>
    </w:p>
    <w:p>
      <w:r>
        <w:t>La mise en place d’un pluviomètre enregistreur au niveau de la STEU permettrait une meilleure analyse du fonctionnement du réseau. Corrélées à celles des postes de relevage, de la station d’épuration, et des points en réseau, ces données aideraient à identifier l’importance des entrées d’eau claires dans le réseau d’eaux usées sur la commune de Garons.</w:t>
      </w:r>
    </w:p>
    <w:p>
      <w:pPr>
        <w:pStyle w:val="Retrait1"/>
        <w:numPr>
          <w:ilvl w:val="0"/>
          <w:numId w:val="19"/>
        </w:numPr>
        <w:tabs>
          <w:tab w:val="clear" w:pos="927"/>
        </w:tabs>
        <w:ind w:left="700" w:hanging="360"/>
      </w:pPr>
      <w:r>
        <w:t>Opérations d’entretien à prévoir</w:t>
      </w:r>
    </w:p>
    <w:p>
      <w:r>
        <w:t>Les équipements d’</w:t>
      </w:r>
      <w:proofErr w:type="spellStart"/>
      <w:r>
        <w:t>autosurveillance</w:t>
      </w:r>
      <w:proofErr w:type="spellEnd"/>
      <w:r>
        <w:t xml:space="preserve"> ou de diagnostic permanent doivent faire l’objet d’opérations de contrôle régulières. A minima, les équipements installés dans les postes de relevage doivent faire l’objet d’une visite mensuelle, fréquence qui doit être portée à 18 visites d’entretien annuel pour les points de diagnostic permanent préconisés sur le réseau. L’entretien consiste à vérifier le calage de la mesure du niveau et au nettoyage des équipements. Il est préconisé de réaliser une visite après un événement pluvieux important.</w:t>
      </w:r>
    </w:p>
    <w:p>
      <w:pPr>
        <w:pStyle w:val="Retrait1"/>
        <w:numPr>
          <w:ilvl w:val="0"/>
          <w:numId w:val="19"/>
        </w:numPr>
        <w:tabs>
          <w:tab w:val="clear" w:pos="927"/>
        </w:tabs>
        <w:ind w:left="700" w:hanging="360"/>
      </w:pPr>
      <w:r>
        <w:t>Obligation du délégataire (contrat DSP 2020)</w:t>
      </w:r>
    </w:p>
    <w:p>
      <w:pPr>
        <w:spacing w:line="276" w:lineRule="auto"/>
      </w:pPr>
      <w:r>
        <w:t>L’article 36 sur les travaux concessifs définit les dispositions en matière de diagnostic permanent :</w:t>
      </w:r>
    </w:p>
    <w:p>
      <w:pPr>
        <w:spacing w:line="276" w:lineRule="auto"/>
      </w:pPr>
      <w:r>
        <w:t>« La gestion de ces équipements (… maintenance, récupération, exploitation et interprétation au fil de l’eau des données, analyses comparées des séries de données … identification des orientations techniques nécessaires à l’amélioration du fonctionnement globale du système réseau / station…) est à la charge du concessionnaire dans le cadre des missions de contrôle des flux de pollution.</w:t>
      </w:r>
    </w:p>
    <w:p>
      <w:pPr>
        <w:spacing w:line="276" w:lineRule="auto"/>
      </w:pPr>
      <w:r>
        <w:t xml:space="preserve">Les prestations d’exploitation intègrent la pleine utilisation des dispositifs de télésurveillance et leurs capacités éventuelles à intégrer les temps de marche des différentes pompes, ainsi que les mesures de niveau pour générer, sur les postes </w:t>
      </w:r>
      <w:proofErr w:type="spellStart"/>
      <w:r>
        <w:t>télésurveillés</w:t>
      </w:r>
      <w:proofErr w:type="spellEnd"/>
      <w:r>
        <w:t>, des chroniques de débits, pompe par pompe, poste par poste. »</w:t>
      </w:r>
    </w:p>
    <w:p>
      <w:pPr>
        <w:pStyle w:val="Retrait1"/>
        <w:tabs>
          <w:tab w:val="clear" w:pos="927"/>
        </w:tabs>
        <w:ind w:left="700" w:hanging="360"/>
      </w:pPr>
      <w:r>
        <w:t>Indicateurs et ratios caractéristiques</w:t>
      </w:r>
    </w:p>
    <w:p>
      <w:pPr>
        <w:rPr>
          <w:lang w:eastAsia="x-none"/>
        </w:rPr>
      </w:pPr>
      <w:r>
        <w:rPr>
          <w:lang w:eastAsia="x-none"/>
        </w:rPr>
        <w:t>Sans objet.</w:t>
      </w:r>
    </w:p>
    <w:p>
      <w:pPr>
        <w:pStyle w:val="Retrait1"/>
        <w:tabs>
          <w:tab w:val="clear" w:pos="927"/>
        </w:tabs>
        <w:ind w:left="700" w:hanging="360"/>
      </w:pPr>
      <w:r>
        <w:t>Estimation du cout des travaux, priorités de réalisation</w:t>
      </w:r>
    </w:p>
    <w:p>
      <w:r>
        <w:t xml:space="preserve">Les différentes mesures prises pour réaliser ce diagnostic permanent permettraient une meilleure surveillance du réseau de la commune, notamment grâce à la mise en place : </w:t>
      </w:r>
    </w:p>
    <w:p>
      <w:pPr>
        <w:pStyle w:val="Retrait20"/>
        <w:tabs>
          <w:tab w:val="clear" w:pos="928"/>
          <w:tab w:val="num" w:pos="1324"/>
        </w:tabs>
        <w:ind w:left="1304"/>
      </w:pPr>
      <w:r>
        <w:t>D’un pluviomètre enregistreur sur la STEU ;</w:t>
      </w:r>
    </w:p>
    <w:p>
      <w:pPr>
        <w:pStyle w:val="Retrait20"/>
        <w:tabs>
          <w:tab w:val="clear" w:pos="928"/>
          <w:tab w:val="num" w:pos="1324"/>
        </w:tabs>
        <w:ind w:left="1304"/>
      </w:pPr>
      <w:r>
        <w:t>De points de mesure permanents pour le suivi des charges hydrauliques ;</w:t>
      </w:r>
    </w:p>
    <w:p>
      <w:r>
        <w:rPr>
          <w:noProof/>
        </w:rPr>
        <w:drawing>
          <wp:inline distT="0" distB="0" distL="0" distR="0">
            <wp:extent cx="5972810" cy="919480"/>
            <wp:effectExtent l="19050" t="19050" r="27940" b="13970"/>
            <wp:docPr id="228" name="Imag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972810" cy="919480"/>
                    </a:xfrm>
                    <a:prstGeom prst="rect">
                      <a:avLst/>
                    </a:prstGeom>
                    <a:ln>
                      <a:solidFill>
                        <a:schemeClr val="tx1"/>
                      </a:solidFill>
                    </a:ln>
                  </pic:spPr>
                </pic:pic>
              </a:graphicData>
            </a:graphic>
          </wp:inline>
        </w:drawing>
      </w:r>
    </w:p>
    <w:p>
      <w:pPr>
        <w:pStyle w:val="Lgende"/>
      </w:pPr>
      <w:bookmarkStart w:id="117" w:name="_Toc46480612"/>
      <w:r>
        <w:t xml:space="preserve">Action 10 - </w:t>
      </w:r>
      <w:bookmarkEnd w:id="117"/>
      <w:r>
        <w:t>estimation du coût des travaux et priorité de réalisation</w:t>
      </w:r>
    </w:p>
    <w:p>
      <w:pPr>
        <w:pStyle w:val="Titre3"/>
        <w:numPr>
          <w:ilvl w:val="0"/>
          <w:numId w:val="0"/>
        </w:numPr>
      </w:pPr>
      <w:bookmarkStart w:id="118" w:name="_Toc46480293"/>
      <w:bookmarkStart w:id="119" w:name="_Toc92353850"/>
      <w:r>
        <w:t>3.6.2. Action n°11 : Mise en place d’un programme annuel de contrôle de l’état du réseau et investigations</w:t>
      </w:r>
      <w:bookmarkEnd w:id="118"/>
      <w:bookmarkEnd w:id="119"/>
    </w:p>
    <w:p>
      <w:pPr>
        <w:pStyle w:val="Retrait1"/>
        <w:tabs>
          <w:tab w:val="clear" w:pos="927"/>
        </w:tabs>
        <w:ind w:left="700" w:hanging="360"/>
      </w:pPr>
      <w:r>
        <w:t>Etat des lieux et objectif de l’action</w:t>
      </w:r>
    </w:p>
    <w:p>
      <w:r>
        <w:t>Dans une logique de gestion patrimoniale, un programme d’investigation télévisé sur l’ensemble du réseau est préconisé. Elles permettront d’identifier les secteurs à risque vis-à-vis des infiltrations d’eaux claires ainsi que des casses et des insuffisances hydrauliques. Des contrôles de conformité des branchements et des reconnaissances par temps de pluie sont également programmés. Ces inspections sont le point de départ du programme de renouvellement du réseau car elles permettent d’identifier au mieux les insuffisances du réseau et les tronçons les plus vulnérables vis-à-vis des risques d’infiltrations.</w:t>
      </w:r>
    </w:p>
    <w:p>
      <w:r>
        <w:t>Par ailleurs, des tests à la fumigation ont été réalisés sur l’ensemble du réseau. Il n’est donc pas nécessaire à moyen terme d’en réaliser d’autre.</w:t>
      </w:r>
    </w:p>
    <w:p>
      <w:pPr>
        <w:pStyle w:val="Retrait20"/>
        <w:numPr>
          <w:ilvl w:val="0"/>
          <w:numId w:val="18"/>
        </w:numPr>
        <w:tabs>
          <w:tab w:val="clear" w:pos="928"/>
          <w:tab w:val="num" w:pos="1324"/>
        </w:tabs>
        <w:ind w:left="964" w:hanging="284"/>
      </w:pPr>
      <w:proofErr w:type="spellStart"/>
      <w:r>
        <w:t>Hydrocurage</w:t>
      </w:r>
      <w:proofErr w:type="spellEnd"/>
      <w:r>
        <w:t xml:space="preserve"> et inspections télévisées</w:t>
      </w:r>
    </w:p>
    <w:p>
      <w:r>
        <w:t xml:space="preserve">Les ITV réalisées lors du diagnostic ont permis d’inspecter 6 500 ml de canalisations. </w:t>
      </w:r>
    </w:p>
    <w:p>
      <w:pPr>
        <w:spacing w:before="0"/>
        <w:jc w:val="left"/>
      </w:pPr>
      <w:r>
        <w:br w:type="page"/>
      </w:r>
    </w:p>
    <w:p>
      <w:r>
        <w:lastRenderedPageBreak/>
        <w:t>Compte tenu du périmètre d’intervention global de la métropole et des priorités qui restent à établir sur les autres systèmes de collecte, il est retenu la mise en œuvre d’un programme d’inspection visant à investiguer l’ensemble du réseau non visité d’ici une échéance de 20 ans, soit environ 1 000ml/an environ. Il s’agit d’un taux moyen, qui sera adaptée en fonction des opportunités externes à la collecte assainissement (travaux voirie, extensions réseaux, réseau AEP, etc….)</w:t>
      </w:r>
    </w:p>
    <w:p>
      <w:pPr>
        <w:rPr>
          <w:i/>
        </w:rPr>
      </w:pPr>
      <w:r>
        <w:rPr>
          <w:i/>
        </w:rPr>
        <w:t>Fréquence d’investigation : l’ensemble du réseau, à une échéance 20 ans, soit 1 000ml/an</w:t>
      </w:r>
    </w:p>
    <w:p>
      <w:pPr>
        <w:pStyle w:val="Retrait20"/>
        <w:numPr>
          <w:ilvl w:val="0"/>
          <w:numId w:val="18"/>
        </w:numPr>
        <w:tabs>
          <w:tab w:val="clear" w:pos="928"/>
          <w:tab w:val="num" w:pos="1324"/>
        </w:tabs>
        <w:ind w:left="964" w:hanging="284"/>
      </w:pPr>
      <w:r>
        <w:t>Reconnaissance temps de pluie</w:t>
      </w:r>
    </w:p>
    <w:p>
      <w:r>
        <w:t xml:space="preserve">La reconnaissance temps de pluie permet d’identifier les entrées d’eau claires dans le réseau. Cette reconnaissance a pour but d’identifier les tronçons de réseau sensible aux entrées d’eau de pluie causées par des infiltrations d’eau ou des mauvais raccordements de branchement. </w:t>
      </w:r>
    </w:p>
    <w:p>
      <w:pPr>
        <w:rPr>
          <w:i/>
        </w:rPr>
      </w:pPr>
      <w:r>
        <w:rPr>
          <w:i/>
        </w:rPr>
        <w:t>Fréquence d’investigation : 2 jours par an, tous les ans</w:t>
      </w:r>
    </w:p>
    <w:p>
      <w:pPr>
        <w:pStyle w:val="Retrait20"/>
        <w:numPr>
          <w:ilvl w:val="0"/>
          <w:numId w:val="18"/>
        </w:numPr>
        <w:tabs>
          <w:tab w:val="clear" w:pos="928"/>
          <w:tab w:val="num" w:pos="1324"/>
        </w:tabs>
        <w:ind w:left="964" w:hanging="284"/>
      </w:pPr>
      <w:r>
        <w:t>Contrôle de conformité des branchements</w:t>
      </w:r>
    </w:p>
    <w:p>
      <w:r>
        <w:t>Les contrôles de conformité des branchements permettent d’identifier les défauts de raccordement chez les particuliers afin de vérifier que les toitures et autres surfaces actives des particuliers ne soient pas raccordées sur le réseau d’eau usées. Cela permet notamment d’identifier les entrées d’eau claires responsables de surcharges hydrauliques. Il est recommandé d’effectuer ces contrôles en particulier dans les secteurs ayant été mis en évidence lors de la reconnaissance temps de pluie.</w:t>
      </w:r>
    </w:p>
    <w:p>
      <w:pPr>
        <w:rPr>
          <w:i/>
        </w:rPr>
      </w:pPr>
      <w:r>
        <w:rPr>
          <w:i/>
        </w:rPr>
        <w:t>Fréquence d’investigation : 20 branchements par an, tous les ans</w:t>
      </w:r>
    </w:p>
    <w:p>
      <w:pPr>
        <w:pStyle w:val="Retrait20"/>
        <w:numPr>
          <w:ilvl w:val="0"/>
          <w:numId w:val="18"/>
        </w:numPr>
        <w:tabs>
          <w:tab w:val="clear" w:pos="928"/>
          <w:tab w:val="num" w:pos="1324"/>
        </w:tabs>
        <w:ind w:left="964" w:hanging="284"/>
      </w:pPr>
      <w:r>
        <w:t>Analyse des inspections et bilan annuel sur les eaux parasites</w:t>
      </w:r>
    </w:p>
    <w:p>
      <w:r>
        <w:t>A la suite de ces investigations, il est nécessaire de réaliser une analyse détaillée de ce qui a été observé. Cette analyse donnera lieu à un bilan annuel sur les eaux parasites et permettra d’identifier au mieux les tronçons présentant des anomalies et des problèmes d’infiltration. Elle permettra également d’établir un programme de renouvellement pertinent vis-à-vis des problématiques du réseau.</w:t>
      </w:r>
    </w:p>
    <w:p>
      <w:pPr>
        <w:rPr>
          <w:i/>
        </w:rPr>
      </w:pPr>
      <w:r>
        <w:rPr>
          <w:i/>
        </w:rPr>
        <w:t>Fréquence d’analyse : tous les ans</w:t>
      </w:r>
    </w:p>
    <w:p>
      <w:pPr>
        <w:pStyle w:val="Retrait1"/>
        <w:numPr>
          <w:ilvl w:val="0"/>
          <w:numId w:val="19"/>
        </w:numPr>
        <w:tabs>
          <w:tab w:val="clear" w:pos="927"/>
        </w:tabs>
        <w:ind w:left="700" w:hanging="360"/>
      </w:pPr>
      <w:r>
        <w:t>Obligation du délégataire (contrat DSP 2020)</w:t>
      </w:r>
    </w:p>
    <w:p>
      <w:r>
        <w:t xml:space="preserve">Les obligations du délégataire permettront de compléter cette analyse. L’article 31 sur la lutte contre </w:t>
      </w:r>
      <w:proofErr w:type="gramStart"/>
      <w:r>
        <w:t>les eaux parasites précise</w:t>
      </w:r>
      <w:proofErr w:type="gramEnd"/>
      <w:r>
        <w:t> :</w:t>
      </w:r>
    </w:p>
    <w:p>
      <w:r>
        <w:t>« Le concessionnaire réalise les actions suivantes pour accompagner la collectivité dans ses projets de réduction des eaux parasites transitant par le système d’assainissement :</w:t>
      </w:r>
    </w:p>
    <w:p>
      <w:pPr>
        <w:pStyle w:val="Paragraphedeliste"/>
        <w:numPr>
          <w:ilvl w:val="0"/>
          <w:numId w:val="17"/>
        </w:numPr>
      </w:pPr>
      <w:r>
        <w:t>Installation de 47 sondes de niveau en réseau plus 5 mobiles (afin de sous-sectoriser temporairement les bassins versant présentant des infiltrations importantes afin de cibler les recherches pour trouver les défauts d’étanchéité des réseaux) pour créer 79 zones de collecte,</w:t>
      </w:r>
    </w:p>
    <w:p>
      <w:pPr>
        <w:pStyle w:val="Paragraphedeliste"/>
        <w:numPr>
          <w:ilvl w:val="0"/>
          <w:numId w:val="17"/>
        </w:numPr>
      </w:pPr>
      <w:r>
        <w:t>Investissement d’une sonde de mesure de vitesse mobile afin de pouvoir intégrer des lois de transformation hauteur en débit de chacun des points,</w:t>
      </w:r>
    </w:p>
    <w:p>
      <w:pPr>
        <w:pStyle w:val="Paragraphedeliste"/>
        <w:numPr>
          <w:ilvl w:val="0"/>
          <w:numId w:val="17"/>
        </w:numPr>
      </w:pPr>
      <w:r>
        <w:t xml:space="preserve">Déploiement de l’outil </w:t>
      </w:r>
      <w:proofErr w:type="spellStart"/>
      <w:r>
        <w:t>GesCIRA</w:t>
      </w:r>
      <w:proofErr w:type="spellEnd"/>
      <w:r>
        <w:t xml:space="preserve"> pour l’analyse des flux du diagnostic permanent sur le territoire de la Communauté d’Agglomération Nîmes Métropole et réalise des bilans trimestriels par système de collecte et zones de collecte permettant de hiérarchiser les actions de terrain à mener, en accord avec la collectivité,</w:t>
      </w:r>
    </w:p>
    <w:p>
      <w:pPr>
        <w:pStyle w:val="Paragraphedeliste"/>
        <w:numPr>
          <w:ilvl w:val="0"/>
          <w:numId w:val="17"/>
        </w:numPr>
      </w:pPr>
      <w:r>
        <w:t>20 km/an de tests à la fumée sur les zones de collecte où le % de surface active est le plus fort,</w:t>
      </w:r>
    </w:p>
    <w:p>
      <w:pPr>
        <w:pStyle w:val="Paragraphedeliste"/>
        <w:numPr>
          <w:ilvl w:val="0"/>
          <w:numId w:val="17"/>
        </w:numPr>
      </w:pPr>
      <w:r>
        <w:t xml:space="preserve">25 km/an de </w:t>
      </w:r>
      <w:proofErr w:type="spellStart"/>
      <w:r>
        <w:t>prédiagnostic</w:t>
      </w:r>
      <w:proofErr w:type="spellEnd"/>
      <w:r>
        <w:t xml:space="preserve"> par caméra périscopique de regard,</w:t>
      </w:r>
    </w:p>
    <w:p>
      <w:pPr>
        <w:pStyle w:val="Paragraphedeliste"/>
        <w:numPr>
          <w:ilvl w:val="0"/>
          <w:numId w:val="17"/>
        </w:numPr>
      </w:pPr>
      <w:r>
        <w:t>88km/an de pré-diagnostic par drone de réseau,</w:t>
      </w:r>
    </w:p>
    <w:p>
      <w:pPr>
        <w:pStyle w:val="Paragraphedeliste"/>
        <w:numPr>
          <w:ilvl w:val="0"/>
          <w:numId w:val="17"/>
        </w:numPr>
      </w:pPr>
      <w:r>
        <w:t>…</w:t>
      </w:r>
    </w:p>
    <w:p>
      <w:pPr>
        <w:pStyle w:val="Paragraphedeliste"/>
        <w:numPr>
          <w:ilvl w:val="0"/>
          <w:numId w:val="17"/>
        </w:numPr>
      </w:pPr>
      <w:r>
        <w:t>Proposition d’un programme pluriannuel de travaux de réhabilitation et de renouvellement. »</w:t>
      </w:r>
    </w:p>
    <w:p>
      <w:pPr>
        <w:pStyle w:val="Retrait1"/>
        <w:tabs>
          <w:tab w:val="clear" w:pos="927"/>
        </w:tabs>
        <w:ind w:left="700" w:hanging="360"/>
      </w:pPr>
      <w:r>
        <w:t>Indicateurs et ratios caractéristiques</w:t>
      </w:r>
    </w:p>
    <w:p>
      <w:pPr>
        <w:pStyle w:val="Retrait20"/>
      </w:pPr>
      <w:r>
        <w:t>Taux d’ITV à réaliser annuellement à hauteur de 3,5% du réseau de collecte.</w:t>
      </w:r>
    </w:p>
    <w:p>
      <w:pPr>
        <w:pStyle w:val="Retrait1"/>
        <w:tabs>
          <w:tab w:val="clear" w:pos="927"/>
        </w:tabs>
        <w:ind w:left="700" w:hanging="360"/>
      </w:pPr>
      <w:r>
        <w:t>Estimation du cout des travaux, priorités de réalisation</w:t>
      </w:r>
    </w:p>
    <w:p>
      <w:r>
        <w:rPr>
          <w:noProof/>
        </w:rPr>
        <w:drawing>
          <wp:inline distT="0" distB="0" distL="0" distR="0">
            <wp:extent cx="5972810" cy="799465"/>
            <wp:effectExtent l="19050" t="19050" r="27940" b="19685"/>
            <wp:docPr id="252" name="Imag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972810" cy="799465"/>
                    </a:xfrm>
                    <a:prstGeom prst="rect">
                      <a:avLst/>
                    </a:prstGeom>
                    <a:ln>
                      <a:solidFill>
                        <a:schemeClr val="tx1"/>
                      </a:solidFill>
                    </a:ln>
                  </pic:spPr>
                </pic:pic>
              </a:graphicData>
            </a:graphic>
          </wp:inline>
        </w:drawing>
      </w:r>
    </w:p>
    <w:p>
      <w:pPr>
        <w:pStyle w:val="Lgende"/>
      </w:pPr>
      <w:bookmarkStart w:id="120" w:name="_Toc46480614"/>
      <w:r>
        <w:t xml:space="preserve">Action 11 - </w:t>
      </w:r>
      <w:bookmarkEnd w:id="120"/>
      <w:r>
        <w:t>estimation du coût des travaux et priorité de réalisation</w:t>
      </w:r>
    </w:p>
    <w:p/>
    <w:p>
      <w:pPr>
        <w:pStyle w:val="Titre3"/>
        <w:numPr>
          <w:ilvl w:val="0"/>
          <w:numId w:val="0"/>
        </w:numPr>
      </w:pPr>
      <w:bookmarkStart w:id="121" w:name="_Toc46480292"/>
      <w:bookmarkStart w:id="122" w:name="_Toc92353851"/>
      <w:r>
        <w:lastRenderedPageBreak/>
        <w:t>3.6.3. Action n°12 : Mise en place d'un renouvellement programmé de la collecte des eaux usées</w:t>
      </w:r>
      <w:bookmarkEnd w:id="121"/>
      <w:bookmarkEnd w:id="122"/>
    </w:p>
    <w:p>
      <w:pPr>
        <w:pStyle w:val="Retrait1"/>
        <w:tabs>
          <w:tab w:val="clear" w:pos="927"/>
        </w:tabs>
        <w:ind w:left="700" w:hanging="360"/>
      </w:pPr>
      <w:r>
        <w:t>Etat des lieux et objectif de l’action</w:t>
      </w:r>
    </w:p>
    <w:p>
      <w:r>
        <w:t>Suite à la réalisation des enquêtes, des ITV, et à l’établissement d’un bilan sur les eaux parasites, les secteurs identifiés comme problématiques ou à risque devront être renouvelés. En complément à l’action 4 qui préconise le renouvellement des tronçons effectivement ou potentiellement identifiés comme vecteurs d’infiltration, l’Action 12 propose un linéaire de réseau à renouveler motivé par l’état structurel des canalisations ou par des problèmes d’hydraulicité mis en évidence.</w:t>
      </w:r>
    </w:p>
    <w:p>
      <w:r>
        <w:t>A travers cette action, il convient par ailleurs de prévoir le renouvellement à minima de deux branchements par an.</w:t>
      </w:r>
    </w:p>
    <w:p>
      <w:pPr>
        <w:pStyle w:val="Retrait1"/>
        <w:keepNext/>
        <w:tabs>
          <w:tab w:val="clear" w:pos="927"/>
        </w:tabs>
        <w:ind w:left="700" w:hanging="360"/>
      </w:pPr>
      <w:r>
        <w:t>Estimation du cout des travaux, priorités de réalisation pour l’action 12</w:t>
      </w:r>
    </w:p>
    <w:p>
      <w:r>
        <w:rPr>
          <w:noProof/>
        </w:rPr>
        <w:drawing>
          <wp:inline distT="0" distB="0" distL="0" distR="0">
            <wp:extent cx="5972810" cy="702945"/>
            <wp:effectExtent l="19050" t="19050" r="27940" b="20955"/>
            <wp:docPr id="245" name="Imag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972810" cy="702945"/>
                    </a:xfrm>
                    <a:prstGeom prst="rect">
                      <a:avLst/>
                    </a:prstGeom>
                    <a:ln>
                      <a:solidFill>
                        <a:schemeClr val="tx1"/>
                      </a:solidFill>
                    </a:ln>
                  </pic:spPr>
                </pic:pic>
              </a:graphicData>
            </a:graphic>
          </wp:inline>
        </w:drawing>
      </w:r>
      <w:r>
        <w:t xml:space="preserve">  </w:t>
      </w:r>
    </w:p>
    <w:p>
      <w:pPr>
        <w:pStyle w:val="Lgende"/>
        <w:rPr>
          <w:lang w:eastAsia="x-none"/>
        </w:rPr>
      </w:pPr>
      <w:r>
        <w:t>Action 12 - estimation du coût des travaux et priorité de réalisation</w:t>
      </w:r>
    </w:p>
    <w:p>
      <w:pPr>
        <w:pStyle w:val="Retrait1"/>
        <w:tabs>
          <w:tab w:val="clear" w:pos="927"/>
        </w:tabs>
        <w:ind w:left="700" w:hanging="360"/>
      </w:pPr>
      <w:r>
        <w:t>Synthèse des orientations de gestion patrimoniale réseau</w:t>
      </w:r>
    </w:p>
    <w:p>
      <w:r>
        <w:t>Les deux actions A4 et A12 participent donc à la mise en œuvre effective d’une démarche de gestion patrimoniale qui consiste à maintenir le patrimoine en état, tout au long de son cycle de vie, pour optimiser le coût des opérations d’acquisition, d’exploitation ou de réhabilitation afin de fournir un niveau de service performant. Ces deux actions participent donc au maintien de la valeur de l’actif réseau.</w:t>
      </w:r>
    </w:p>
    <w:p>
      <w:r>
        <w:t>Le plan d’actions proposé doit permettre de définir les moyens financiers nécessaires à l’atteinte de ces objectifs en investissement.</w:t>
      </w:r>
    </w:p>
    <w:p>
      <w:r>
        <w:t>Le renouvellement proposé à travers ces deux actions A4 et A12 représente un linéaire de 3,3km pour un montant total estimé à environ 1 072K€HT. Réalisé, sur une période de 10 ans, il correspondrait à un taux de renouvellement moyen de l’ordre de 1,2%/an (soit une durée de vie théorique de l’actif de 80 ans). Compte tenu des observations et de la connaissance actuelle de la durée de vie des réseaux d’assainissement il conviendrait de porter ce taux de renouvellement à 1,5% en moyenne annuelle, ce qui représente 4,5km.</w:t>
      </w:r>
    </w:p>
    <w:p>
      <w:r>
        <w:t>Il convient de rappeler que l’article 31 du contrat de DSP précise que le concessionnaire doit proposer un programme pluriannuel de travaux de réhabilitation et de renouvellement. Le présent programme doit donc être amené à évoluer, au-delà des renouvellements identifiés présentés en priorités 1/2/3, en fonction de besoins qui s’imposeraient au service et des résultats des démarches de suivi de la performance préconisés (ITV, exploitation, diagnostic permanent, visite sous averse).</w:t>
      </w:r>
    </w:p>
    <w:p>
      <w:pPr>
        <w:pStyle w:val="Retrait1"/>
        <w:tabs>
          <w:tab w:val="clear" w:pos="927"/>
        </w:tabs>
        <w:ind w:left="700" w:hanging="360"/>
      </w:pPr>
      <w:r>
        <w:t>Indicateurs et ratios caractéristiques</w:t>
      </w:r>
    </w:p>
    <w:p>
      <w:r>
        <w:rPr>
          <w:noProof/>
        </w:rPr>
        <w:drawing>
          <wp:inline distT="0" distB="0" distL="0" distR="0">
            <wp:extent cx="6156330" cy="1473959"/>
            <wp:effectExtent l="19050" t="19050" r="15875" b="12065"/>
            <wp:docPr id="244" name="Imag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6151273" cy="1472748"/>
                    </a:xfrm>
                    <a:prstGeom prst="rect">
                      <a:avLst/>
                    </a:prstGeom>
                    <a:ln>
                      <a:solidFill>
                        <a:schemeClr val="tx1"/>
                      </a:solidFill>
                    </a:ln>
                  </pic:spPr>
                </pic:pic>
              </a:graphicData>
            </a:graphic>
          </wp:inline>
        </w:drawing>
      </w:r>
    </w:p>
    <w:p>
      <w:pPr>
        <w:rPr>
          <w:i/>
          <w:lang w:eastAsia="x-none"/>
        </w:rPr>
      </w:pPr>
      <w:r>
        <w:rPr>
          <w:i/>
        </w:rPr>
        <w:t xml:space="preserve"> </w:t>
      </w:r>
      <w:bookmarkStart w:id="123" w:name="_Toc57022726"/>
      <w:bookmarkStart w:id="124" w:name="_Toc67549145"/>
      <w:r>
        <w:rPr>
          <w:i/>
        </w:rPr>
        <w:t>Synthèse des orientations de renouvellement réseau pour la mise en œuvre effective d’une gestion patrimoniale réseau - estimation du coût des travaux et priorité de réalisation</w:t>
      </w:r>
      <w:bookmarkEnd w:id="123"/>
      <w:bookmarkEnd w:id="124"/>
    </w:p>
    <w:p/>
    <w:p>
      <w:pPr>
        <w:spacing w:before="0"/>
        <w:jc w:val="left"/>
        <w:rPr>
          <w:b/>
          <w:color w:val="333333"/>
          <w:sz w:val="32"/>
        </w:rPr>
      </w:pPr>
      <w:bookmarkStart w:id="125" w:name="_Toc46480294"/>
      <w:r>
        <w:br w:type="page"/>
      </w:r>
    </w:p>
    <w:p>
      <w:pPr>
        <w:pStyle w:val="Titre2"/>
        <w:numPr>
          <w:ilvl w:val="0"/>
          <w:numId w:val="0"/>
        </w:numPr>
      </w:pPr>
      <w:bookmarkStart w:id="126" w:name="_Toc92353852"/>
      <w:r>
        <w:lastRenderedPageBreak/>
        <w:t>3.7. Thématique 6 : Mise en adéquation du système d’assainissement avec l’évolution urbanistique de la commune</w:t>
      </w:r>
      <w:bookmarkEnd w:id="125"/>
      <w:bookmarkEnd w:id="126"/>
    </w:p>
    <w:p>
      <w:pPr>
        <w:pStyle w:val="Titre3"/>
        <w:numPr>
          <w:ilvl w:val="0"/>
          <w:numId w:val="0"/>
        </w:numPr>
      </w:pPr>
      <w:bookmarkStart w:id="127" w:name="_Toc92353853"/>
      <w:r>
        <w:t>3.7.1. Action n°13 : Extension de la collecte</w:t>
      </w:r>
      <w:bookmarkEnd w:id="127"/>
    </w:p>
    <w:p>
      <w:pPr>
        <w:pStyle w:val="Retrait1"/>
        <w:tabs>
          <w:tab w:val="clear" w:pos="927"/>
        </w:tabs>
        <w:ind w:left="700" w:hanging="360"/>
      </w:pPr>
      <w:bookmarkStart w:id="128" w:name="_Toc46480295"/>
      <w:r>
        <w:t>Etat des lieux et objectif de l’action</w:t>
      </w:r>
    </w:p>
    <w:p>
      <w:r>
        <w:t xml:space="preserve">Les scénarios d’extension du réseau de collecte sont explicités dans la partie </w:t>
      </w:r>
      <w:r>
        <w:fldChar w:fldCharType="begin"/>
      </w:r>
      <w:r>
        <w:instrText xml:space="preserve"> REF _Ref56517793 \r \h </w:instrText>
      </w:r>
      <w:r>
        <w:fldChar w:fldCharType="separate"/>
      </w:r>
      <w:r>
        <w:t>2.2</w:t>
      </w:r>
      <w:r>
        <w:fldChar w:fldCharType="end"/>
      </w:r>
      <w:r>
        <w:fldChar w:fldCharType="begin"/>
      </w:r>
      <w:r>
        <w:instrText xml:space="preserve"> REF _Ref56517800 \h </w:instrText>
      </w:r>
      <w:r>
        <w:fldChar w:fldCharType="end"/>
      </w:r>
      <w:r>
        <w:t xml:space="preserve"> </w:t>
      </w:r>
      <w:r>
        <w:fldChar w:fldCharType="begin"/>
      </w:r>
      <w:r>
        <w:instrText xml:space="preserve"> REF _Ref56517793 \h </w:instrText>
      </w:r>
      <w:r>
        <w:fldChar w:fldCharType="separate"/>
      </w:r>
      <w:r>
        <w:t>Extension des réseaux de collecte</w:t>
      </w:r>
      <w:r>
        <w:fldChar w:fldCharType="end"/>
      </w:r>
      <w:r>
        <w:t xml:space="preserve">. Les travaux retenus concernent la mise en place de la collecte sur l’ensemble des secteurs identifiés en zone U et AU (hormis les zones </w:t>
      </w:r>
      <w:proofErr w:type="spellStart"/>
      <w:r>
        <w:t>UEa</w:t>
      </w:r>
      <w:proofErr w:type="spellEnd"/>
      <w:r>
        <w:t xml:space="preserve"> et 2AUEa) de la commune. Il est prévu une seule extension de réseau : les </w:t>
      </w:r>
      <w:proofErr w:type="spellStart"/>
      <w:r>
        <w:t>Dardalounes</w:t>
      </w:r>
      <w:proofErr w:type="spellEnd"/>
      <w:r>
        <w:t>.</w:t>
      </w:r>
    </w:p>
    <w:p>
      <w:pPr>
        <w:pStyle w:val="Retrait1"/>
        <w:tabs>
          <w:tab w:val="clear" w:pos="927"/>
        </w:tabs>
        <w:ind w:left="700" w:hanging="360"/>
      </w:pPr>
      <w:r>
        <w:t>Estimation du cout des travaux, priorités de réalisation</w:t>
      </w:r>
    </w:p>
    <w:p>
      <w:pPr>
        <w:rPr>
          <w:lang w:eastAsia="x-none"/>
        </w:rPr>
      </w:pPr>
      <w:r>
        <w:rPr>
          <w:lang w:eastAsia="x-none"/>
        </w:rPr>
        <w:t>Pour cette catégorie de travaux, il n’est pas indiqué de priorité. Le rythme de réalisation sera fonction des opportunités de développement et de la vitesse de réalisation des projets (dans le tableau est présenté le scénario 2, il s’agit du scénario envisagé  par la Métropole).</w:t>
      </w:r>
    </w:p>
    <w:p>
      <w:pPr>
        <w:keepNext/>
      </w:pPr>
      <w:r>
        <w:rPr>
          <w:noProof/>
        </w:rPr>
        <w:drawing>
          <wp:inline distT="0" distB="0" distL="0" distR="0">
            <wp:extent cx="5972810" cy="526415"/>
            <wp:effectExtent l="19050" t="19050" r="27940" b="26035"/>
            <wp:docPr id="1352" name="Imag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972810" cy="526415"/>
                    </a:xfrm>
                    <a:prstGeom prst="rect">
                      <a:avLst/>
                    </a:prstGeom>
                    <a:ln>
                      <a:solidFill>
                        <a:schemeClr val="tx1"/>
                      </a:solidFill>
                    </a:ln>
                  </pic:spPr>
                </pic:pic>
              </a:graphicData>
            </a:graphic>
          </wp:inline>
        </w:drawing>
      </w:r>
    </w:p>
    <w:p>
      <w:pPr>
        <w:pStyle w:val="Lgende"/>
        <w:rPr>
          <w:lang w:eastAsia="x-none"/>
        </w:rPr>
      </w:pPr>
      <w:bookmarkStart w:id="129" w:name="_Toc46480615"/>
      <w:r>
        <w:t xml:space="preserve">Action 13 - </w:t>
      </w:r>
      <w:bookmarkEnd w:id="129"/>
      <w:r>
        <w:t>estimation du coût des travaux et priorité de réalisation</w:t>
      </w:r>
    </w:p>
    <w:p>
      <w:pPr>
        <w:pStyle w:val="Retrait1"/>
        <w:tabs>
          <w:tab w:val="clear" w:pos="927"/>
        </w:tabs>
        <w:ind w:left="700" w:hanging="360"/>
      </w:pPr>
      <w:r>
        <w:t>Indicateurs et ratios caractéristiques</w:t>
      </w:r>
    </w:p>
    <w:p>
      <w:pPr>
        <w:rPr>
          <w:lang w:eastAsia="x-none"/>
        </w:rPr>
      </w:pPr>
      <w:r>
        <w:rPr>
          <w:lang w:eastAsia="x-none"/>
        </w:rPr>
        <w:t>Sans objet</w:t>
      </w:r>
    </w:p>
    <w:p>
      <w:pPr>
        <w:pStyle w:val="Titre3"/>
        <w:numPr>
          <w:ilvl w:val="0"/>
          <w:numId w:val="0"/>
        </w:numPr>
      </w:pPr>
      <w:bookmarkStart w:id="130" w:name="_Toc46480296"/>
      <w:bookmarkStart w:id="131" w:name="_Toc71557215"/>
      <w:bookmarkStart w:id="132" w:name="_Toc92353854"/>
      <w:r>
        <w:t>3.7.2. Action n°14 : Mise en perspective de l’unité de dépollution avec les charges à traiter</w:t>
      </w:r>
      <w:bookmarkEnd w:id="130"/>
      <w:bookmarkEnd w:id="131"/>
      <w:bookmarkEnd w:id="132"/>
    </w:p>
    <w:p>
      <w:pPr>
        <w:pStyle w:val="Retrait1"/>
        <w:tabs>
          <w:tab w:val="clear" w:pos="927"/>
        </w:tabs>
        <w:ind w:left="700" w:hanging="360"/>
      </w:pPr>
      <w:r>
        <w:t>Etat des lieux et objectif de l’action</w:t>
      </w:r>
    </w:p>
    <w:p>
      <w:r>
        <w:t>Les travaux prévus pour le développement de la commune conduisent pour l’horizon 2055 à:</w:t>
      </w:r>
    </w:p>
    <w:p>
      <w:pPr>
        <w:pStyle w:val="Retrait20"/>
        <w:tabs>
          <w:tab w:val="clear" w:pos="928"/>
          <w:tab w:val="num" w:pos="1324"/>
        </w:tabs>
        <w:ind w:left="1304"/>
      </w:pPr>
      <w:r>
        <w:t>Construire une seconde filière de traitement permettant de doubler la capacité de la station d’épuration actuelle (7000EH à 14000EH).</w:t>
      </w:r>
    </w:p>
    <w:p>
      <w:pPr>
        <w:pStyle w:val="Retrait20"/>
      </w:pPr>
      <w:r>
        <w:t>Indicateurs et ratios caractéristiques</w:t>
      </w:r>
    </w:p>
    <w:p>
      <w:pPr>
        <w:ind w:left="426" w:hanging="426"/>
        <w:rPr>
          <w:rFonts w:cs="Arial"/>
          <w:b/>
        </w:rPr>
      </w:pPr>
      <w:r>
        <w:rPr>
          <w:lang w:eastAsia="x-none"/>
        </w:rPr>
        <w:t xml:space="preserve">                             Sans objet</w:t>
      </w:r>
    </w:p>
    <w:p>
      <w:pPr>
        <w:pStyle w:val="Retrait1"/>
        <w:tabs>
          <w:tab w:val="clear" w:pos="927"/>
        </w:tabs>
        <w:ind w:left="700" w:hanging="360"/>
      </w:pPr>
      <w:r>
        <w:t>Estimation du cout des travaux, priorités de réalisation</w:t>
      </w:r>
    </w:p>
    <w:p>
      <w:pPr>
        <w:keepNext/>
      </w:pPr>
      <w:r>
        <w:rPr>
          <w:noProof/>
        </w:rPr>
        <w:drawing>
          <wp:inline distT="0" distB="0" distL="0" distR="0">
            <wp:extent cx="5972810" cy="526415"/>
            <wp:effectExtent l="19050" t="19050" r="27940" b="26035"/>
            <wp:docPr id="1353" name="Imag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972810" cy="526415"/>
                    </a:xfrm>
                    <a:prstGeom prst="rect">
                      <a:avLst/>
                    </a:prstGeom>
                    <a:ln>
                      <a:solidFill>
                        <a:schemeClr val="tx1"/>
                      </a:solidFill>
                    </a:ln>
                  </pic:spPr>
                </pic:pic>
              </a:graphicData>
            </a:graphic>
          </wp:inline>
        </w:drawing>
      </w:r>
      <w:r>
        <w:t xml:space="preserve"> </w:t>
      </w:r>
    </w:p>
    <w:p>
      <w:pPr>
        <w:pStyle w:val="Lgende"/>
        <w:rPr>
          <w:lang w:eastAsia="x-none"/>
        </w:rPr>
      </w:pPr>
      <w:bookmarkStart w:id="133" w:name="_Toc46480616"/>
      <w:bookmarkStart w:id="134" w:name="_Toc71557252"/>
      <w:r>
        <w:t xml:space="preserve">Action 14 - </w:t>
      </w:r>
      <w:bookmarkEnd w:id="133"/>
      <w:r>
        <w:t>estimation du coût des travaux et priorité de réalisation</w:t>
      </w:r>
      <w:bookmarkEnd w:id="134"/>
    </w:p>
    <w:p>
      <w:pPr>
        <w:rPr>
          <w:lang w:eastAsia="x-none"/>
        </w:rPr>
      </w:pPr>
    </w:p>
    <w:p>
      <w:pPr>
        <w:pStyle w:val="Titre1"/>
        <w:numPr>
          <w:ilvl w:val="0"/>
          <w:numId w:val="22"/>
        </w:numPr>
      </w:pPr>
      <w:bookmarkStart w:id="135" w:name="_Toc54181853"/>
      <w:bookmarkStart w:id="136" w:name="_Toc92353855"/>
      <w:bookmarkEnd w:id="128"/>
      <w:r>
        <w:lastRenderedPageBreak/>
        <w:t>Synthèse et plan d’ensemble du programme de travaux</w:t>
      </w:r>
      <w:bookmarkEnd w:id="135"/>
      <w:bookmarkEnd w:id="136"/>
    </w:p>
    <w:p>
      <w:pPr>
        <w:jc w:val="center"/>
      </w:pPr>
      <w:r>
        <w:rPr>
          <w:noProof/>
        </w:rPr>
        <w:drawing>
          <wp:inline distT="0" distB="0" distL="0" distR="0">
            <wp:extent cx="5972810" cy="2892425"/>
            <wp:effectExtent l="19050" t="19050" r="27940" b="22225"/>
            <wp:docPr id="1356" name="Imag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972810" cy="2892425"/>
                    </a:xfrm>
                    <a:prstGeom prst="rect">
                      <a:avLst/>
                    </a:prstGeom>
                    <a:ln>
                      <a:solidFill>
                        <a:schemeClr val="tx1"/>
                      </a:solidFill>
                    </a:ln>
                  </pic:spPr>
                </pic:pic>
              </a:graphicData>
            </a:graphic>
          </wp:inline>
        </w:drawing>
      </w:r>
      <w:r>
        <w:t xml:space="preserve"> </w:t>
      </w:r>
    </w:p>
    <w:p>
      <w:pPr>
        <w:pStyle w:val="Lgende"/>
        <w:jc w:val="center"/>
      </w:pPr>
      <w:bookmarkStart w:id="137" w:name="_Toc54181937"/>
      <w:r>
        <w:t>Synthèse du programme de travaux</w:t>
      </w:r>
      <w:bookmarkEnd w:id="137"/>
    </w:p>
    <w:p/>
    <w:p>
      <w:r>
        <w:t>L’investissement est évalué à environ 5 037 000€HT à l’horizon 10 ans.</w:t>
      </w:r>
    </w:p>
    <w:p>
      <w:r>
        <w:t>Du point de vue des thématiques la répartition des travaux est la suivante :</w:t>
      </w:r>
    </w:p>
    <w:p>
      <w:pPr>
        <w:pStyle w:val="Retrait1"/>
        <w:numPr>
          <w:ilvl w:val="0"/>
          <w:numId w:val="16"/>
        </w:numPr>
        <w:tabs>
          <w:tab w:val="clear" w:pos="927"/>
        </w:tabs>
        <w:ind w:left="700" w:hanging="360"/>
      </w:pPr>
      <w:bookmarkStart w:id="138" w:name="OLE_LINK1"/>
      <w:r>
        <w:t>Suppression des eaux claires parasites de temps de pluie : 27 000€HT</w:t>
      </w:r>
    </w:p>
    <w:p>
      <w:pPr>
        <w:pStyle w:val="Retrait1"/>
        <w:numPr>
          <w:ilvl w:val="0"/>
          <w:numId w:val="16"/>
        </w:numPr>
        <w:tabs>
          <w:tab w:val="clear" w:pos="927"/>
        </w:tabs>
        <w:ind w:left="700" w:hanging="360"/>
      </w:pPr>
      <w:r>
        <w:t>Suppression des eaux claires parasites de temps sec et/ou ressuyage : 703 000€HT</w:t>
      </w:r>
    </w:p>
    <w:p>
      <w:pPr>
        <w:pStyle w:val="Retrait1"/>
        <w:numPr>
          <w:ilvl w:val="0"/>
          <w:numId w:val="16"/>
        </w:numPr>
        <w:tabs>
          <w:tab w:val="clear" w:pos="927"/>
        </w:tabs>
        <w:ind w:left="700" w:hanging="360"/>
      </w:pPr>
      <w:r>
        <w:t>Réhabilitation des réseaux et regards de visite : 68 000€HT</w:t>
      </w:r>
    </w:p>
    <w:p>
      <w:pPr>
        <w:pStyle w:val="Retrait1"/>
        <w:numPr>
          <w:ilvl w:val="0"/>
          <w:numId w:val="16"/>
        </w:numPr>
        <w:tabs>
          <w:tab w:val="clear" w:pos="927"/>
        </w:tabs>
        <w:ind w:left="700" w:hanging="360"/>
      </w:pPr>
      <w:r>
        <w:t xml:space="preserve">Réhabilitation des équipements et ouvrages : 50 000€HT </w:t>
      </w:r>
    </w:p>
    <w:p>
      <w:pPr>
        <w:pStyle w:val="Retrait1"/>
        <w:numPr>
          <w:ilvl w:val="0"/>
          <w:numId w:val="16"/>
        </w:numPr>
        <w:tabs>
          <w:tab w:val="clear" w:pos="927"/>
        </w:tabs>
        <w:ind w:left="700" w:hanging="360"/>
      </w:pPr>
      <w:r>
        <w:t>Mise en place d'une gestion patrimoniale : 504 000€HT</w:t>
      </w:r>
    </w:p>
    <w:p>
      <w:pPr>
        <w:pStyle w:val="Retrait1"/>
        <w:numPr>
          <w:ilvl w:val="0"/>
          <w:numId w:val="16"/>
        </w:numPr>
        <w:tabs>
          <w:tab w:val="clear" w:pos="927"/>
        </w:tabs>
        <w:ind w:left="700" w:hanging="360"/>
      </w:pPr>
      <w:r>
        <w:t>Mise en adéquation du système d’assainissement avec l’évolution urbanistique de la commune : 3 685 000€HT</w:t>
      </w:r>
    </w:p>
    <w:bookmarkEnd w:id="138"/>
    <w:p/>
    <w:p>
      <w:r>
        <w:t>Au niveau des priorités :</w:t>
      </w:r>
    </w:p>
    <w:p>
      <w:pPr>
        <w:pStyle w:val="Retrait20"/>
        <w:numPr>
          <w:ilvl w:val="0"/>
          <w:numId w:val="15"/>
        </w:numPr>
        <w:tabs>
          <w:tab w:val="clear" w:pos="928"/>
          <w:tab w:val="num" w:pos="1324"/>
        </w:tabs>
        <w:ind w:left="1304"/>
      </w:pPr>
      <w:r>
        <w:t>Priorité 1 : 4 237 000€HT dont 3 400 000€HT pour la station d’épuration</w:t>
      </w:r>
    </w:p>
    <w:p>
      <w:pPr>
        <w:pStyle w:val="Retrait20"/>
        <w:numPr>
          <w:ilvl w:val="0"/>
          <w:numId w:val="15"/>
        </w:numPr>
        <w:tabs>
          <w:tab w:val="clear" w:pos="928"/>
          <w:tab w:val="num" w:pos="1324"/>
        </w:tabs>
        <w:ind w:left="1304"/>
      </w:pPr>
      <w:r>
        <w:t>Priorité 2 : 465 000€HT</w:t>
      </w:r>
    </w:p>
    <w:p>
      <w:pPr>
        <w:pStyle w:val="Retrait20"/>
        <w:numPr>
          <w:ilvl w:val="0"/>
          <w:numId w:val="15"/>
        </w:numPr>
        <w:tabs>
          <w:tab w:val="clear" w:pos="928"/>
          <w:tab w:val="num" w:pos="1324"/>
        </w:tabs>
        <w:ind w:left="1304"/>
      </w:pPr>
      <w:r>
        <w:t>Priorité 3 : 334 000€HT</w:t>
      </w:r>
    </w:p>
    <w:p>
      <w:pPr>
        <w:spacing w:before="0"/>
        <w:jc w:val="left"/>
        <w:rPr>
          <w:smallCaps/>
          <w:color w:val="333333"/>
          <w:kern w:val="28"/>
          <w:sz w:val="48"/>
        </w:rPr>
      </w:pPr>
      <w:bookmarkStart w:id="139" w:name="_Toc67549076"/>
      <w:r>
        <w:rPr>
          <w:b/>
        </w:rPr>
        <w:br w:type="page"/>
      </w:r>
    </w:p>
    <w:p>
      <w:pPr>
        <w:pStyle w:val="Titre1"/>
        <w:numPr>
          <w:ilvl w:val="0"/>
          <w:numId w:val="22"/>
        </w:numPr>
        <w:spacing w:before="0"/>
      </w:pPr>
      <w:bookmarkStart w:id="140" w:name="_Toc92353856"/>
      <w:r>
        <w:rPr>
          <w:b w:val="0"/>
        </w:rPr>
        <w:lastRenderedPageBreak/>
        <w:t>Annexes</w:t>
      </w:r>
      <w:bookmarkEnd w:id="139"/>
      <w:bookmarkEnd w:id="140"/>
    </w:p>
    <w:p>
      <w:pPr>
        <w:pStyle w:val="Retrait1"/>
        <w:numPr>
          <w:ilvl w:val="0"/>
          <w:numId w:val="20"/>
        </w:numPr>
      </w:pPr>
      <w:r>
        <w:t>Plan du programme de travaux</w:t>
      </w:r>
    </w:p>
    <w:p>
      <w:pPr>
        <w:pStyle w:val="Retrait1"/>
      </w:pPr>
      <w:r>
        <w:t xml:space="preserve">Tableau détaillé du programme de travaux </w:t>
      </w:r>
    </w:p>
    <w:p>
      <w:pPr>
        <w:pStyle w:val="Retrait1"/>
        <w:numPr>
          <w:ilvl w:val="0"/>
          <w:numId w:val="0"/>
        </w:numPr>
        <w:ind w:left="567"/>
      </w:pPr>
    </w:p>
    <w:sectPr>
      <w:headerReference w:type="default" r:id="rId47"/>
      <w:footerReference w:type="default" r:id="rId48"/>
      <w:headerReference w:type="first" r:id="rId49"/>
      <w:footnotePr>
        <w:pos w:val="beneathText"/>
      </w:footnotePr>
      <w:pgSz w:w="11905" w:h="16837" w:code="9"/>
      <w:pgMar w:top="567" w:right="1134" w:bottom="567" w:left="1134" w:header="454" w:footer="454" w:gutter="0"/>
      <w:cols w:space="720"/>
      <w:titlePg/>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before="0"/>
      </w:pPr>
      <w:r>
        <w:separator/>
      </w:r>
    </w:p>
  </w:endnote>
  <w:endnote w:type="continuationSeparator" w:id="0">
    <w:p>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notTrueType/>
    <w:pitch w:val="variable"/>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MS Mincho">
    <w:altName w:val="ＭＳ 明朝"/>
    <w:panose1 w:val="02020609040205080304"/>
    <w:charset w:val="80"/>
    <w:family w:val="roman"/>
    <w:notTrueType/>
    <w:pitch w:val="fixed"/>
    <w:sig w:usb0="00000001" w:usb1="08070000" w:usb2="00000010" w:usb3="00000000" w:csb0="00020000" w:csb1="00000000"/>
  </w:font>
  <w:font w:name="Corbel">
    <w:panose1 w:val="020B0503020204020204"/>
    <w:charset w:val="00"/>
    <w:family w:val="swiss"/>
    <w:pitch w:val="variable"/>
    <w:sig w:usb0="A00002EF" w:usb1="4000A44B" w:usb2="00000000" w:usb3="00000000" w:csb0="0000019F" w:csb1="00000000"/>
  </w:font>
  <w:font w:name="Candara">
    <w:panose1 w:val="020E0502030303020204"/>
    <w:charset w:val="00"/>
    <w:family w:val="swiss"/>
    <w:pitch w:val="variable"/>
    <w:sig w:usb0="A00002EF" w:usb1="4000A44B" w:usb2="00000000" w:usb3="00000000" w:csb0="0000019F" w:csb1="00000000"/>
  </w:font>
  <w:font w:name="Mangal">
    <w:panose1 w:val="00000400000000000000"/>
    <w:charset w:val="01"/>
    <w:family w:val="roman"/>
    <w:notTrueType/>
    <w:pitch w:val="variable"/>
    <w:sig w:usb0="00002000" w:usb1="00000000" w:usb2="00000000" w:usb3="00000000" w:csb0="00000000" w:csb1="00000000"/>
  </w:font>
  <w:font w:name="Microsoft YaHei">
    <w:panose1 w:val="020B0503020204020204"/>
    <w:charset w:val="86"/>
    <w:family w:val="swiss"/>
    <w:pitch w:val="variable"/>
    <w:sig w:usb0="80000287" w:usb1="2ACF3C50" w:usb2="00000016" w:usb3="00000000" w:csb0="0004001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CellMar>
        <w:left w:w="70" w:type="dxa"/>
        <w:right w:w="70" w:type="dxa"/>
      </w:tblCellMar>
      <w:tblLook w:val="0000" w:firstRow="0" w:lastRow="0" w:firstColumn="0" w:lastColumn="0" w:noHBand="0" w:noVBand="0"/>
    </w:tblPr>
    <w:tblGrid>
      <w:gridCol w:w="2905"/>
      <w:gridCol w:w="5945"/>
      <w:gridCol w:w="927"/>
    </w:tblGrid>
    <w:tr>
      <w:tc>
        <w:tcPr>
          <w:tcW w:w="2905" w:type="dxa"/>
        </w:tcPr>
        <w:p>
          <w:pPr>
            <w:pStyle w:val="Pieddepage"/>
            <w:spacing w:before="0"/>
            <w:jc w:val="left"/>
            <w:rPr>
              <w:rFonts w:cs="Arial"/>
            </w:rPr>
          </w:pPr>
          <w:r>
            <w:rPr>
              <w:rFonts w:cs="Arial"/>
              <w:noProof/>
            </w:rPr>
            <w:drawing>
              <wp:inline distT="0" distB="0" distL="0" distR="0">
                <wp:extent cx="569346" cy="157574"/>
                <wp:effectExtent l="19050" t="0" r="2154" b="0"/>
                <wp:docPr id="22" name="Image 4" descr="Afficher l’image sour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fficher l’image source"/>
                        <pic:cNvPicPr>
                          <a:picLocks noChangeAspect="1" noChangeArrowheads="1"/>
                        </pic:cNvPicPr>
                      </pic:nvPicPr>
                      <pic:blipFill>
                        <a:blip r:embed="rId1" cstate="print"/>
                        <a:srcRect/>
                        <a:stretch>
                          <a:fillRect/>
                        </a:stretch>
                      </pic:blipFill>
                      <pic:spPr bwMode="auto">
                        <a:xfrm>
                          <a:off x="0" y="0"/>
                          <a:ext cx="570295" cy="157837"/>
                        </a:xfrm>
                        <a:prstGeom prst="rect">
                          <a:avLst/>
                        </a:prstGeom>
                        <a:noFill/>
                        <a:ln w="9525">
                          <a:noFill/>
                          <a:miter lim="800000"/>
                          <a:headEnd/>
                          <a:tailEnd/>
                        </a:ln>
                      </pic:spPr>
                    </pic:pic>
                  </a:graphicData>
                </a:graphic>
              </wp:inline>
            </w:drawing>
          </w:r>
        </w:p>
      </w:tc>
      <w:tc>
        <w:tcPr>
          <w:tcW w:w="5945" w:type="dxa"/>
          <w:vAlign w:val="center"/>
        </w:tcPr>
        <w:p>
          <w:pPr>
            <w:pStyle w:val="Pieddepage"/>
            <w:spacing w:before="0"/>
            <w:rPr>
              <w:rFonts w:cs="Arial"/>
              <w:color w:val="333333"/>
              <w:sz w:val="12"/>
              <w:szCs w:val="14"/>
            </w:rPr>
          </w:pPr>
          <w:r>
            <w:rPr>
              <w:rFonts w:cs="Arial"/>
              <w:color w:val="333333"/>
              <w:sz w:val="12"/>
              <w:szCs w:val="14"/>
            </w:rPr>
            <w:t>.</w:t>
          </w:r>
        </w:p>
      </w:tc>
      <w:tc>
        <w:tcPr>
          <w:tcW w:w="927" w:type="dxa"/>
          <w:vAlign w:val="center"/>
        </w:tcPr>
        <w:p>
          <w:pPr>
            <w:pStyle w:val="Pieddepage"/>
            <w:spacing w:before="0"/>
            <w:jc w:val="right"/>
            <w:rPr>
              <w:rFonts w:cs="Arial"/>
            </w:rPr>
          </w:pPr>
          <w:r>
            <w:rPr>
              <w:rFonts w:cs="Arial"/>
            </w:rPr>
            <w:t xml:space="preserve">Page </w:t>
          </w:r>
          <w:r>
            <w:rPr>
              <w:rFonts w:cs="Arial"/>
            </w:rPr>
            <w:fldChar w:fldCharType="begin"/>
          </w:r>
          <w:r>
            <w:rPr>
              <w:rFonts w:cs="Arial"/>
            </w:rPr>
            <w:instrText xml:space="preserve"> PAGE  \* MERGEFORMAT </w:instrText>
          </w:r>
          <w:r>
            <w:rPr>
              <w:rFonts w:cs="Arial"/>
            </w:rPr>
            <w:fldChar w:fldCharType="separate"/>
          </w:r>
          <w:r>
            <w:rPr>
              <w:rFonts w:cs="Arial"/>
              <w:noProof/>
            </w:rPr>
            <w:t>30</w:t>
          </w:r>
          <w:r>
            <w:rPr>
              <w:rFonts w:cs="Arial"/>
            </w:rPr>
            <w:fldChar w:fldCharType="end"/>
          </w:r>
          <w:r>
            <w:rPr>
              <w:rFonts w:cs="Arial"/>
            </w:rPr>
            <w:t>/</w:t>
          </w:r>
          <w:r>
            <w:rPr>
              <w:rFonts w:cs="Arial"/>
              <w:noProof/>
            </w:rPr>
            <w:fldChar w:fldCharType="begin"/>
          </w:r>
          <w:r>
            <w:rPr>
              <w:rFonts w:cs="Arial"/>
              <w:noProof/>
            </w:rPr>
            <w:instrText xml:space="preserve"> NUMPAGES  \* MERGEFORMAT </w:instrText>
          </w:r>
          <w:r>
            <w:rPr>
              <w:rFonts w:cs="Arial"/>
              <w:noProof/>
            </w:rPr>
            <w:fldChar w:fldCharType="separate"/>
          </w:r>
          <w:r>
            <w:rPr>
              <w:rFonts w:cs="Arial"/>
              <w:noProof/>
            </w:rPr>
            <w:t>37</w:t>
          </w:r>
          <w:r>
            <w:rPr>
              <w:rFonts w:cs="Arial"/>
              <w:noProof/>
            </w:rPr>
            <w:fldChar w:fldCharType="end"/>
          </w:r>
        </w:p>
        <w:p>
          <w:pPr>
            <w:pStyle w:val="Pieddepage"/>
            <w:spacing w:before="0"/>
            <w:jc w:val="right"/>
            <w:rPr>
              <w:rFonts w:cs="Arial"/>
            </w:rPr>
          </w:pPr>
          <w:r>
            <w:rPr>
              <w:rFonts w:cs="Arial"/>
            </w:rPr>
            <w:fldChar w:fldCharType="begin"/>
          </w:r>
          <w:r>
            <w:rPr>
              <w:rFonts w:cs="Arial"/>
            </w:rPr>
            <w:instrText xml:space="preserve"> SAVEDATE \@ "dd/MM/yyyy" \* MERGEFORMAT </w:instrText>
          </w:r>
          <w:r>
            <w:rPr>
              <w:rFonts w:cs="Arial"/>
            </w:rPr>
            <w:fldChar w:fldCharType="separate"/>
          </w:r>
          <w:r>
            <w:rPr>
              <w:rFonts w:cs="Arial"/>
              <w:noProof/>
            </w:rPr>
            <w:t>26/01/2022</w:t>
          </w:r>
          <w:r>
            <w:rPr>
              <w:rFonts w:cs="Arial"/>
            </w:rPr>
            <w:fldChar w:fldCharType="end"/>
          </w:r>
        </w:p>
      </w:tc>
    </w:tr>
  </w:tbl>
  <w:p>
    <w:pPr>
      <w:pStyle w:val="Pieddepage"/>
      <w:jc w:val="both"/>
      <w:rPr>
        <w:sz w:val="4"/>
        <w:szCs w:val="4"/>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before="0"/>
      </w:pPr>
      <w:r>
        <w:separator/>
      </w:r>
    </w:p>
  </w:footnote>
  <w:footnote w:type="continuationSeparator" w:id="0">
    <w:p>
      <w:pPr>
        <w:spacing w:before="0"/>
      </w:pPr>
      <w:r>
        <w:continuationSeparator/>
      </w:r>
    </w:p>
  </w:footnote>
  <w:footnote w:id="1">
    <w:p>
      <w:pPr>
        <w:pStyle w:val="Notedebasdepage"/>
      </w:pPr>
      <w:r>
        <w:rPr>
          <w:rStyle w:val="Appelnotedebasdep"/>
        </w:rPr>
        <w:footnoteRef/>
      </w:r>
      <w:r>
        <w:t xml:space="preserve"> </w:t>
      </w:r>
      <w:r>
        <w:rPr>
          <w:i/>
        </w:rPr>
        <w:t>Calculé sur la moyenne de la charge maximum de DBO</w:t>
      </w:r>
      <w:r>
        <w:rPr>
          <w:i/>
          <w:vertAlign w:val="subscript"/>
        </w:rPr>
        <w:t>5</w:t>
      </w:r>
      <w:r>
        <w:rPr>
          <w:i/>
        </w:rPr>
        <w:t xml:space="preserve"> de chaque année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CellMar>
        <w:left w:w="70" w:type="dxa"/>
        <w:right w:w="70" w:type="dxa"/>
      </w:tblCellMar>
      <w:tblLook w:val="0000" w:firstRow="0" w:lastRow="0" w:firstColumn="0" w:lastColumn="0" w:noHBand="0" w:noVBand="0"/>
    </w:tblPr>
    <w:tblGrid>
      <w:gridCol w:w="1072"/>
      <w:gridCol w:w="8705"/>
    </w:tblGrid>
    <w:tr>
      <w:tc>
        <w:tcPr>
          <w:tcW w:w="1072" w:type="dxa"/>
          <w:vAlign w:val="center"/>
        </w:tcPr>
        <w:p>
          <w:pPr>
            <w:pStyle w:val="En-tte"/>
          </w:pPr>
          <w:r>
            <w:rPr>
              <w:noProof/>
            </w:rPr>
            <w:drawing>
              <wp:inline distT="0" distB="0" distL="0" distR="0">
                <wp:extent cx="425751" cy="198408"/>
                <wp:effectExtent l="0" t="0" r="0" b="0"/>
                <wp:docPr id="1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print"/>
                        <a:srcRect/>
                        <a:stretch>
                          <a:fillRect/>
                        </a:stretch>
                      </pic:blipFill>
                      <pic:spPr bwMode="auto">
                        <a:xfrm>
                          <a:off x="0" y="0"/>
                          <a:ext cx="425751" cy="198408"/>
                        </a:xfrm>
                        <a:prstGeom prst="rect">
                          <a:avLst/>
                        </a:prstGeom>
                        <a:noFill/>
                        <a:ln w="9525">
                          <a:noFill/>
                          <a:miter lim="800000"/>
                          <a:headEnd/>
                          <a:tailEnd/>
                        </a:ln>
                      </pic:spPr>
                    </pic:pic>
                  </a:graphicData>
                </a:graphic>
              </wp:inline>
            </w:drawing>
          </w:r>
        </w:p>
      </w:tc>
      <w:tc>
        <w:tcPr>
          <w:tcW w:w="8705" w:type="dxa"/>
          <w:vAlign w:val="center"/>
        </w:tcPr>
        <w:p>
          <w:pPr>
            <w:pStyle w:val="En-tte"/>
            <w:spacing w:before="120"/>
            <w:rPr>
              <w:color w:val="0070C0"/>
            </w:rPr>
          </w:pPr>
          <w:r>
            <w:rPr>
              <w:b/>
              <w:bCs/>
              <w:color w:val="0070C0"/>
            </w:rPr>
            <w:t>Nîmes Métropole</w:t>
          </w:r>
        </w:p>
        <w:p>
          <w:pPr>
            <w:pStyle w:val="En-tte"/>
            <w:rPr>
              <w:color w:val="262626"/>
            </w:rPr>
          </w:pPr>
          <w:r>
            <w:rPr>
              <w:color w:val="262626"/>
            </w:rPr>
            <w:t>Schéma directeur d’assainissement de la commune de Garons – Rapport de synthèse</w:t>
          </w:r>
        </w:p>
        <w:p>
          <w:pPr>
            <w:pStyle w:val="En-tte"/>
          </w:pPr>
        </w:p>
      </w:tc>
    </w:tr>
  </w:tbl>
  <w:p>
    <w:pPr>
      <w:pStyle w:val="En-tte"/>
      <w:rPr>
        <w:sz w:val="4"/>
        <w:szCs w:val="4"/>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CellMar>
        <w:left w:w="70" w:type="dxa"/>
        <w:right w:w="70" w:type="dxa"/>
      </w:tblCellMar>
      <w:tblLook w:val="0000" w:firstRow="0" w:lastRow="0" w:firstColumn="0" w:lastColumn="0" w:noHBand="0" w:noVBand="0"/>
    </w:tblPr>
    <w:tblGrid>
      <w:gridCol w:w="981"/>
      <w:gridCol w:w="8796"/>
    </w:tblGrid>
    <w:tr>
      <w:tc>
        <w:tcPr>
          <w:tcW w:w="981" w:type="dxa"/>
          <w:vAlign w:val="center"/>
        </w:tcPr>
        <w:p>
          <w:pPr>
            <w:pStyle w:val="Nomfichier"/>
          </w:pPr>
        </w:p>
      </w:tc>
      <w:tc>
        <w:tcPr>
          <w:tcW w:w="8796" w:type="dxa"/>
          <w:vAlign w:val="center"/>
        </w:tcPr>
        <w:p>
          <w:pPr>
            <w:pStyle w:val="En-tte"/>
          </w:pPr>
        </w:p>
      </w:tc>
    </w:tr>
  </w:tbl>
  <w:p>
    <w:pPr>
      <w:pStyle w:val="En-tt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9E662AE4"/>
    <w:lvl w:ilvl="0">
      <w:numFmt w:val="decimal"/>
      <w:pStyle w:val="Anomalies"/>
      <w:lvlText w:val="*"/>
      <w:lvlJc w:val="left"/>
    </w:lvl>
  </w:abstractNum>
  <w:abstractNum w:abstractNumId="1" w15:restartNumberingAfterBreak="0">
    <w:nsid w:val="00000002"/>
    <w:multiLevelType w:val="singleLevel"/>
    <w:tmpl w:val="00000002"/>
    <w:name w:val="WW8Num2"/>
    <w:lvl w:ilvl="0">
      <w:start w:val="1"/>
      <w:numFmt w:val="bullet"/>
      <w:suff w:val="space"/>
      <w:lvlText w:val=""/>
      <w:lvlJc w:val="left"/>
      <w:pPr>
        <w:tabs>
          <w:tab w:val="num" w:pos="0"/>
        </w:tabs>
        <w:ind w:left="227" w:hanging="227"/>
      </w:pPr>
      <w:rPr>
        <w:rFonts w:ascii="Wingdings" w:hAnsi="Wingdings" w:cs="Times New Roman"/>
        <w:sz w:val="26"/>
        <w:szCs w:val="26"/>
      </w:rPr>
    </w:lvl>
  </w:abstractNum>
  <w:abstractNum w:abstractNumId="2" w15:restartNumberingAfterBreak="0">
    <w:nsid w:val="01E024A8"/>
    <w:multiLevelType w:val="hybridMultilevel"/>
    <w:tmpl w:val="3D2C3EFE"/>
    <w:lvl w:ilvl="0" w:tplc="4C52696E">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15:restartNumberingAfterBreak="0">
    <w:nsid w:val="1BFD78B6"/>
    <w:multiLevelType w:val="singleLevel"/>
    <w:tmpl w:val="C5B4086E"/>
    <w:lvl w:ilvl="0">
      <w:start w:val="1"/>
      <w:numFmt w:val="bullet"/>
      <w:pStyle w:val="EnumPoint"/>
      <w:lvlText w:val=""/>
      <w:lvlJc w:val="left"/>
      <w:pPr>
        <w:tabs>
          <w:tab w:val="num" w:pos="360"/>
        </w:tabs>
        <w:ind w:left="360" w:hanging="360"/>
      </w:pPr>
      <w:rPr>
        <w:rFonts w:ascii="Symbol" w:hAnsi="Symbol" w:hint="default"/>
      </w:rPr>
    </w:lvl>
  </w:abstractNum>
  <w:abstractNum w:abstractNumId="4" w15:restartNumberingAfterBreak="0">
    <w:nsid w:val="1C407EE3"/>
    <w:multiLevelType w:val="hybridMultilevel"/>
    <w:tmpl w:val="422A92A2"/>
    <w:lvl w:ilvl="0" w:tplc="2D021042">
      <w:start w:val="1"/>
      <w:numFmt w:val="bullet"/>
      <w:lvlText w:val=""/>
      <w:lvlJc w:val="left"/>
      <w:pPr>
        <w:ind w:left="720" w:hanging="360"/>
      </w:pPr>
      <w:rPr>
        <w:rFonts w:ascii="Wingdings" w:hAnsi="Wingdings" w:hint="default"/>
      </w:rPr>
    </w:lvl>
    <w:lvl w:ilvl="1" w:tplc="8D9AE5CC">
      <w:start w:val="1"/>
      <w:numFmt w:val="bullet"/>
      <w:pStyle w:val="retrait2"/>
      <w:lvlText w:val=""/>
      <w:lvlJc w:val="left"/>
      <w:pPr>
        <w:ind w:left="1440" w:hanging="360"/>
      </w:pPr>
      <w:rPr>
        <w:rFonts w:ascii="Wingdings" w:hAnsi="Wingdings" w:hint="default"/>
      </w:rPr>
    </w:lvl>
    <w:lvl w:ilvl="2" w:tplc="040C0005">
      <w:start w:val="1"/>
      <w:numFmt w:val="bullet"/>
      <w:lvlText w:val=""/>
      <w:lvlJc w:val="left"/>
      <w:pPr>
        <w:ind w:left="2160" w:hanging="360"/>
      </w:pPr>
      <w:rPr>
        <w:rFonts w:ascii="Wingdings" w:hAnsi="Wingdings" w:hint="default"/>
      </w:rPr>
    </w:lvl>
    <w:lvl w:ilvl="3" w:tplc="D974E19A">
      <w:numFmt w:val="bullet"/>
      <w:lvlText w:val=""/>
      <w:lvlJc w:val="left"/>
      <w:pPr>
        <w:ind w:left="2880" w:hanging="360"/>
      </w:pPr>
      <w:rPr>
        <w:rFonts w:ascii="Wingdings" w:eastAsia="Times New Roman" w:hAnsi="Wingdings" w:cs="Times New Roman"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216E34E2"/>
    <w:multiLevelType w:val="multilevel"/>
    <w:tmpl w:val="8CC4DFF4"/>
    <w:lvl w:ilvl="0">
      <w:numFmt w:val="decimal"/>
      <w:pStyle w:val="Titre1"/>
      <w:suff w:val="space"/>
      <w:lvlText w:val="%1."/>
      <w:lvlJc w:val="left"/>
      <w:pPr>
        <w:ind w:left="432" w:hanging="432"/>
      </w:pPr>
      <w:rPr>
        <w:rFonts w:hint="default"/>
      </w:rPr>
    </w:lvl>
    <w:lvl w:ilvl="1">
      <w:start w:val="1"/>
      <w:numFmt w:val="decimal"/>
      <w:pStyle w:val="Titre2"/>
      <w:suff w:val="space"/>
      <w:lvlText w:val="%1.%2."/>
      <w:lvlJc w:val="left"/>
      <w:pPr>
        <w:ind w:left="576" w:hanging="576"/>
      </w:pPr>
      <w:rPr>
        <w:rFonts w:hint="default"/>
      </w:rPr>
    </w:lvl>
    <w:lvl w:ilvl="2">
      <w:start w:val="1"/>
      <w:numFmt w:val="decimal"/>
      <w:pStyle w:val="Titre3"/>
      <w:suff w:val="space"/>
      <w:lvlText w:val="%1.%2.%3."/>
      <w:lvlJc w:val="left"/>
      <w:pPr>
        <w:ind w:left="720" w:hanging="720"/>
      </w:pPr>
      <w:rPr>
        <w:rFonts w:hint="default"/>
      </w:rPr>
    </w:lvl>
    <w:lvl w:ilvl="3">
      <w:start w:val="1"/>
      <w:numFmt w:val="decimal"/>
      <w:pStyle w:val="Titre4"/>
      <w:suff w:val="space"/>
      <w:lvlText w:val="%1.%2.%3.%4."/>
      <w:lvlJc w:val="left"/>
      <w:pPr>
        <w:ind w:left="864" w:hanging="864"/>
      </w:pPr>
      <w:rPr>
        <w:rFonts w:hint="default"/>
      </w:rPr>
    </w:lvl>
    <w:lvl w:ilvl="4">
      <w:start w:val="1"/>
      <w:numFmt w:val="decimal"/>
      <w:pStyle w:val="Titre5"/>
      <w:suff w:val="space"/>
      <w:lvlText w:val="%1.%2.%3.%4.%5."/>
      <w:lvlJc w:val="left"/>
      <w:pPr>
        <w:ind w:left="1008" w:hanging="1008"/>
      </w:pPr>
      <w:rPr>
        <w:rFonts w:hint="default"/>
      </w:rPr>
    </w:lvl>
    <w:lvl w:ilvl="5">
      <w:start w:val="1"/>
      <w:numFmt w:val="decimal"/>
      <w:pStyle w:val="Titre6"/>
      <w:suff w:val="space"/>
      <w:lvlText w:val="%1.%2.%3.%4.%5.%6."/>
      <w:lvlJc w:val="left"/>
      <w:pPr>
        <w:ind w:left="1152" w:hanging="1152"/>
      </w:pPr>
      <w:rPr>
        <w:rFonts w:hint="default"/>
      </w:rPr>
    </w:lvl>
    <w:lvl w:ilvl="6">
      <w:start w:val="1"/>
      <w:numFmt w:val="decimal"/>
      <w:pStyle w:val="Titre7"/>
      <w:suff w:val="space"/>
      <w:lvlText w:val="%1.%2.%3.%4.%5.%6.%7."/>
      <w:lvlJc w:val="left"/>
      <w:pPr>
        <w:ind w:left="1296" w:hanging="1296"/>
      </w:pPr>
      <w:rPr>
        <w:rFonts w:hint="default"/>
      </w:rPr>
    </w:lvl>
    <w:lvl w:ilvl="7">
      <w:start w:val="1"/>
      <w:numFmt w:val="decimal"/>
      <w:pStyle w:val="Titre8"/>
      <w:lvlText w:val="%1.%2.%3.%4.%5.%6.%7.%8"/>
      <w:lvlJc w:val="left"/>
      <w:pPr>
        <w:tabs>
          <w:tab w:val="num" w:pos="1440"/>
        </w:tabs>
        <w:ind w:left="1440" w:hanging="1440"/>
      </w:pPr>
      <w:rPr>
        <w:rFonts w:hint="default"/>
      </w:rPr>
    </w:lvl>
    <w:lvl w:ilvl="8">
      <w:start w:val="1"/>
      <w:numFmt w:val="decimal"/>
      <w:pStyle w:val="Titre9"/>
      <w:lvlText w:val="%1.%2.%3.%4.%5.%6.%7.%8.%9"/>
      <w:lvlJc w:val="left"/>
      <w:pPr>
        <w:tabs>
          <w:tab w:val="num" w:pos="1584"/>
        </w:tabs>
        <w:ind w:left="1584" w:hanging="1584"/>
      </w:pPr>
      <w:rPr>
        <w:rFonts w:hint="default"/>
      </w:rPr>
    </w:lvl>
  </w:abstractNum>
  <w:abstractNum w:abstractNumId="6" w15:restartNumberingAfterBreak="0">
    <w:nsid w:val="23F650F6"/>
    <w:multiLevelType w:val="hybridMultilevel"/>
    <w:tmpl w:val="DCA2AECA"/>
    <w:lvl w:ilvl="0" w:tplc="FE9E8F92">
      <w:start w:val="1"/>
      <w:numFmt w:val="bullet"/>
      <w:pStyle w:val="retrai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2E041760"/>
    <w:multiLevelType w:val="multilevel"/>
    <w:tmpl w:val="E1D2CD3C"/>
    <w:lvl w:ilvl="0">
      <w:start w:val="2"/>
      <w:numFmt w:val="decimal"/>
      <w:lvlText w:val="%1"/>
      <w:lvlJc w:val="left"/>
      <w:pPr>
        <w:ind w:left="510" w:hanging="510"/>
      </w:pPr>
      <w:rPr>
        <w:rFonts w:hint="default"/>
      </w:rPr>
    </w:lvl>
    <w:lvl w:ilvl="1">
      <w:start w:val="3"/>
      <w:numFmt w:val="decimal"/>
      <w:lvlText w:val="%1.%2"/>
      <w:lvlJc w:val="left"/>
      <w:pPr>
        <w:ind w:left="510" w:hanging="51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432E6EA0"/>
    <w:multiLevelType w:val="hybridMultilevel"/>
    <w:tmpl w:val="7FAA0C5A"/>
    <w:lvl w:ilvl="0" w:tplc="C7DCDA78">
      <w:start w:val="1"/>
      <w:numFmt w:val="bullet"/>
      <w:pStyle w:val="Retrait0"/>
      <w:lvlText w:val=""/>
      <w:lvlJc w:val="left"/>
      <w:pPr>
        <w:tabs>
          <w:tab w:val="num" w:pos="360"/>
        </w:tabs>
        <w:ind w:left="340" w:hanging="340"/>
      </w:pPr>
      <w:rPr>
        <w:rFonts w:ascii="Wingdings" w:hAnsi="Wingdings" w:hint="default"/>
        <w:b/>
        <w:i w:val="0"/>
        <w:color w:val="666699"/>
        <w:sz w:val="24"/>
        <w:u w:val="none"/>
      </w:rPr>
    </w:lvl>
    <w:lvl w:ilvl="1" w:tplc="040C0003" w:tentative="1">
      <w:start w:val="1"/>
      <w:numFmt w:val="bullet"/>
      <w:lvlText w:val="o"/>
      <w:lvlJc w:val="left"/>
      <w:pPr>
        <w:tabs>
          <w:tab w:val="num" w:pos="1440"/>
        </w:tabs>
        <w:ind w:left="1440" w:hanging="360"/>
      </w:pPr>
      <w:rPr>
        <w:rFonts w:ascii="Courier New" w:hAnsi="Courier New" w:hint="default"/>
      </w:rPr>
    </w:lvl>
    <w:lvl w:ilvl="2" w:tplc="A5E86802" w:tentative="1">
      <w:start w:val="1"/>
      <w:numFmt w:val="bullet"/>
      <w:lvlText w:val=""/>
      <w:lvlJc w:val="left"/>
      <w:pPr>
        <w:tabs>
          <w:tab w:val="num" w:pos="2160"/>
        </w:tabs>
        <w:ind w:left="2160" w:hanging="360"/>
      </w:pPr>
      <w:rPr>
        <w:rFonts w:ascii="Wingdings" w:hAnsi="Wingdings" w:hint="default"/>
      </w:rPr>
    </w:lvl>
    <w:lvl w:ilvl="3" w:tplc="7434799C"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4C0F1406"/>
    <w:multiLevelType w:val="hybridMultilevel"/>
    <w:tmpl w:val="26D4EA24"/>
    <w:lvl w:ilvl="0" w:tplc="151E8686">
      <w:start w:val="1"/>
      <w:numFmt w:val="bullet"/>
      <w:pStyle w:val="04-titre5"/>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52792906"/>
    <w:multiLevelType w:val="hybridMultilevel"/>
    <w:tmpl w:val="F8C09FB2"/>
    <w:lvl w:ilvl="0" w:tplc="27F89B94">
      <w:start w:val="1"/>
      <w:numFmt w:val="bullet"/>
      <w:pStyle w:val="Retrait20"/>
      <w:lvlText w:val=""/>
      <w:lvlJc w:val="left"/>
      <w:pPr>
        <w:tabs>
          <w:tab w:val="num" w:pos="928"/>
        </w:tabs>
        <w:ind w:left="908" w:hanging="340"/>
      </w:pPr>
      <w:rPr>
        <w:rFonts w:ascii="Symbol" w:hAnsi="Symbol" w:hint="default"/>
        <w:b w:val="0"/>
        <w:i w:val="0"/>
        <w:color w:val="333333"/>
        <w:sz w:val="20"/>
        <w:u w:val="none"/>
      </w:rPr>
    </w:lvl>
    <w:lvl w:ilvl="1" w:tplc="2AB0FECA">
      <w:start w:val="1"/>
      <w:numFmt w:val="bullet"/>
      <w:lvlText w:val="o"/>
      <w:lvlJc w:val="left"/>
      <w:pPr>
        <w:tabs>
          <w:tab w:val="num" w:pos="1440"/>
        </w:tabs>
        <w:ind w:left="1440" w:hanging="360"/>
      </w:pPr>
      <w:rPr>
        <w:rFonts w:ascii="Courier New" w:hAnsi="Courier New" w:hint="default"/>
      </w:rPr>
    </w:lvl>
    <w:lvl w:ilvl="2" w:tplc="49BAB662" w:tentative="1">
      <w:start w:val="1"/>
      <w:numFmt w:val="bullet"/>
      <w:lvlText w:val=""/>
      <w:lvlJc w:val="left"/>
      <w:pPr>
        <w:tabs>
          <w:tab w:val="num" w:pos="2160"/>
        </w:tabs>
        <w:ind w:left="2160" w:hanging="360"/>
      </w:pPr>
      <w:rPr>
        <w:rFonts w:ascii="Wingdings" w:hAnsi="Wingdings" w:hint="default"/>
      </w:rPr>
    </w:lvl>
    <w:lvl w:ilvl="3" w:tplc="3BDE22D4" w:tentative="1">
      <w:start w:val="1"/>
      <w:numFmt w:val="bullet"/>
      <w:lvlText w:val=""/>
      <w:lvlJc w:val="left"/>
      <w:pPr>
        <w:tabs>
          <w:tab w:val="num" w:pos="2880"/>
        </w:tabs>
        <w:ind w:left="2880" w:hanging="360"/>
      </w:pPr>
      <w:rPr>
        <w:rFonts w:ascii="Symbol" w:hAnsi="Symbol" w:hint="default"/>
      </w:rPr>
    </w:lvl>
    <w:lvl w:ilvl="4" w:tplc="6A18B22E" w:tentative="1">
      <w:start w:val="1"/>
      <w:numFmt w:val="bullet"/>
      <w:lvlText w:val="o"/>
      <w:lvlJc w:val="left"/>
      <w:pPr>
        <w:tabs>
          <w:tab w:val="num" w:pos="3600"/>
        </w:tabs>
        <w:ind w:left="3600" w:hanging="360"/>
      </w:pPr>
      <w:rPr>
        <w:rFonts w:ascii="Courier New" w:hAnsi="Courier New" w:hint="default"/>
      </w:rPr>
    </w:lvl>
    <w:lvl w:ilvl="5" w:tplc="118C86DA" w:tentative="1">
      <w:start w:val="1"/>
      <w:numFmt w:val="bullet"/>
      <w:lvlText w:val=""/>
      <w:lvlJc w:val="left"/>
      <w:pPr>
        <w:tabs>
          <w:tab w:val="num" w:pos="4320"/>
        </w:tabs>
        <w:ind w:left="4320" w:hanging="360"/>
      </w:pPr>
      <w:rPr>
        <w:rFonts w:ascii="Wingdings" w:hAnsi="Wingdings" w:hint="default"/>
      </w:rPr>
    </w:lvl>
    <w:lvl w:ilvl="6" w:tplc="BCB4ED2C" w:tentative="1">
      <w:start w:val="1"/>
      <w:numFmt w:val="bullet"/>
      <w:lvlText w:val=""/>
      <w:lvlJc w:val="left"/>
      <w:pPr>
        <w:tabs>
          <w:tab w:val="num" w:pos="5040"/>
        </w:tabs>
        <w:ind w:left="5040" w:hanging="360"/>
      </w:pPr>
      <w:rPr>
        <w:rFonts w:ascii="Symbol" w:hAnsi="Symbol" w:hint="default"/>
      </w:rPr>
    </w:lvl>
    <w:lvl w:ilvl="7" w:tplc="2FA404CA" w:tentative="1">
      <w:start w:val="1"/>
      <w:numFmt w:val="bullet"/>
      <w:lvlText w:val="o"/>
      <w:lvlJc w:val="left"/>
      <w:pPr>
        <w:tabs>
          <w:tab w:val="num" w:pos="5760"/>
        </w:tabs>
        <w:ind w:left="5760" w:hanging="360"/>
      </w:pPr>
      <w:rPr>
        <w:rFonts w:ascii="Courier New" w:hAnsi="Courier New" w:hint="default"/>
      </w:rPr>
    </w:lvl>
    <w:lvl w:ilvl="8" w:tplc="17323286"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54227680"/>
    <w:multiLevelType w:val="hybridMultilevel"/>
    <w:tmpl w:val="4F1E9BA6"/>
    <w:lvl w:ilvl="0" w:tplc="74D21406">
      <w:start w:val="1"/>
      <w:numFmt w:val="bullet"/>
      <w:pStyle w:val="Style1"/>
      <w:lvlText w:val=""/>
      <w:lvlJc w:val="left"/>
      <w:pPr>
        <w:tabs>
          <w:tab w:val="num" w:pos="1778"/>
        </w:tabs>
        <w:ind w:left="1778" w:hanging="360"/>
      </w:pPr>
      <w:rPr>
        <w:rFonts w:ascii="Symbol" w:hAnsi="Symbol" w:hint="default"/>
        <w:color w:val="000000"/>
        <w:sz w:val="18"/>
      </w:rPr>
    </w:lvl>
    <w:lvl w:ilvl="1" w:tplc="040C0003" w:tentative="1">
      <w:start w:val="1"/>
      <w:numFmt w:val="bullet"/>
      <w:lvlText w:val="o"/>
      <w:lvlJc w:val="left"/>
      <w:pPr>
        <w:tabs>
          <w:tab w:val="num" w:pos="2858"/>
        </w:tabs>
        <w:ind w:left="2858" w:hanging="360"/>
      </w:pPr>
      <w:rPr>
        <w:rFonts w:ascii="Courier New" w:hAnsi="Courier New" w:hint="default"/>
      </w:rPr>
    </w:lvl>
    <w:lvl w:ilvl="2" w:tplc="040C0005" w:tentative="1">
      <w:start w:val="1"/>
      <w:numFmt w:val="bullet"/>
      <w:lvlText w:val=""/>
      <w:lvlJc w:val="left"/>
      <w:pPr>
        <w:tabs>
          <w:tab w:val="num" w:pos="3578"/>
        </w:tabs>
        <w:ind w:left="3578" w:hanging="360"/>
      </w:pPr>
      <w:rPr>
        <w:rFonts w:ascii="Wingdings" w:hAnsi="Wingdings" w:hint="default"/>
      </w:rPr>
    </w:lvl>
    <w:lvl w:ilvl="3" w:tplc="040C0001" w:tentative="1">
      <w:start w:val="1"/>
      <w:numFmt w:val="bullet"/>
      <w:lvlText w:val=""/>
      <w:lvlJc w:val="left"/>
      <w:pPr>
        <w:tabs>
          <w:tab w:val="num" w:pos="4298"/>
        </w:tabs>
        <w:ind w:left="4298" w:hanging="360"/>
      </w:pPr>
      <w:rPr>
        <w:rFonts w:ascii="Symbol" w:hAnsi="Symbol" w:hint="default"/>
      </w:rPr>
    </w:lvl>
    <w:lvl w:ilvl="4" w:tplc="040C0003" w:tentative="1">
      <w:start w:val="1"/>
      <w:numFmt w:val="bullet"/>
      <w:lvlText w:val="o"/>
      <w:lvlJc w:val="left"/>
      <w:pPr>
        <w:tabs>
          <w:tab w:val="num" w:pos="5018"/>
        </w:tabs>
        <w:ind w:left="5018" w:hanging="360"/>
      </w:pPr>
      <w:rPr>
        <w:rFonts w:ascii="Courier New" w:hAnsi="Courier New" w:hint="default"/>
      </w:rPr>
    </w:lvl>
    <w:lvl w:ilvl="5" w:tplc="040C0005" w:tentative="1">
      <w:start w:val="1"/>
      <w:numFmt w:val="bullet"/>
      <w:lvlText w:val=""/>
      <w:lvlJc w:val="left"/>
      <w:pPr>
        <w:tabs>
          <w:tab w:val="num" w:pos="5738"/>
        </w:tabs>
        <w:ind w:left="5738" w:hanging="360"/>
      </w:pPr>
      <w:rPr>
        <w:rFonts w:ascii="Wingdings" w:hAnsi="Wingdings" w:hint="default"/>
      </w:rPr>
    </w:lvl>
    <w:lvl w:ilvl="6" w:tplc="040C0001" w:tentative="1">
      <w:start w:val="1"/>
      <w:numFmt w:val="bullet"/>
      <w:lvlText w:val=""/>
      <w:lvlJc w:val="left"/>
      <w:pPr>
        <w:tabs>
          <w:tab w:val="num" w:pos="6458"/>
        </w:tabs>
        <w:ind w:left="6458" w:hanging="360"/>
      </w:pPr>
      <w:rPr>
        <w:rFonts w:ascii="Symbol" w:hAnsi="Symbol" w:hint="default"/>
      </w:rPr>
    </w:lvl>
    <w:lvl w:ilvl="7" w:tplc="040C0003" w:tentative="1">
      <w:start w:val="1"/>
      <w:numFmt w:val="bullet"/>
      <w:lvlText w:val="o"/>
      <w:lvlJc w:val="left"/>
      <w:pPr>
        <w:tabs>
          <w:tab w:val="num" w:pos="7178"/>
        </w:tabs>
        <w:ind w:left="7178" w:hanging="360"/>
      </w:pPr>
      <w:rPr>
        <w:rFonts w:ascii="Courier New" w:hAnsi="Courier New" w:hint="default"/>
      </w:rPr>
    </w:lvl>
    <w:lvl w:ilvl="8" w:tplc="040C0005" w:tentative="1">
      <w:start w:val="1"/>
      <w:numFmt w:val="bullet"/>
      <w:lvlText w:val=""/>
      <w:lvlJc w:val="left"/>
      <w:pPr>
        <w:tabs>
          <w:tab w:val="num" w:pos="7898"/>
        </w:tabs>
        <w:ind w:left="7898" w:hanging="360"/>
      </w:pPr>
      <w:rPr>
        <w:rFonts w:ascii="Wingdings" w:hAnsi="Wingdings" w:hint="default"/>
      </w:rPr>
    </w:lvl>
  </w:abstractNum>
  <w:abstractNum w:abstractNumId="12" w15:restartNumberingAfterBreak="0">
    <w:nsid w:val="661B649F"/>
    <w:multiLevelType w:val="hybridMultilevel"/>
    <w:tmpl w:val="AC9A02A2"/>
    <w:lvl w:ilvl="0" w:tplc="D8F6CDC8">
      <w:start w:val="1"/>
      <w:numFmt w:val="bullet"/>
      <w:pStyle w:val="Retrait3"/>
      <w:lvlText w:val=""/>
      <w:lvlJc w:val="left"/>
      <w:pPr>
        <w:tabs>
          <w:tab w:val="num" w:pos="1778"/>
        </w:tabs>
        <w:ind w:left="1778" w:hanging="360"/>
      </w:pPr>
      <w:rPr>
        <w:rFonts w:ascii="Symbol" w:hAnsi="Symbol" w:hint="default"/>
        <w:color w:val="333333"/>
        <w:sz w:val="20"/>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start w:val="1"/>
      <w:numFmt w:val="bullet"/>
      <w:lvlText w:val=""/>
      <w:lvlJc w:val="left"/>
      <w:pPr>
        <w:tabs>
          <w:tab w:val="num" w:pos="2160"/>
        </w:tabs>
        <w:ind w:left="2160" w:hanging="360"/>
      </w:pPr>
      <w:rPr>
        <w:rFonts w:ascii="Symbol" w:hAnsi="Symbol" w:hint="default"/>
        <w:color w:val="auto"/>
        <w:sz w:val="20"/>
      </w:rPr>
    </w:lvl>
    <w:lvl w:ilvl="3" w:tplc="040C0001">
      <w:numFmt w:val="bullet"/>
      <w:lvlText w:val="-"/>
      <w:lvlJc w:val="left"/>
      <w:pPr>
        <w:tabs>
          <w:tab w:val="num" w:pos="3070"/>
        </w:tabs>
        <w:ind w:left="3070" w:hanging="550"/>
      </w:pPr>
      <w:rPr>
        <w:rFonts w:ascii="Times New Roman" w:hAnsi="Times New Roman" w:cs="Times New Roman" w:hint="default"/>
        <w:color w:val="666699"/>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6C89054D"/>
    <w:multiLevelType w:val="hybridMultilevel"/>
    <w:tmpl w:val="67909868"/>
    <w:lvl w:ilvl="0" w:tplc="C88AE42C">
      <w:start w:val="1"/>
      <w:numFmt w:val="bullet"/>
      <w:pStyle w:val="Retrait1"/>
      <w:lvlText w:val=""/>
      <w:lvlJc w:val="left"/>
      <w:pPr>
        <w:tabs>
          <w:tab w:val="num" w:pos="927"/>
        </w:tabs>
        <w:ind w:left="907" w:hanging="340"/>
      </w:pPr>
      <w:rPr>
        <w:rFonts w:ascii="Symbol" w:hAnsi="Symbol" w:hint="default"/>
        <w:b w:val="0"/>
        <w:i w:val="0"/>
        <w:color w:val="7AC043"/>
        <w:sz w:val="28"/>
        <w:u w:val="none"/>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73141409"/>
    <w:multiLevelType w:val="hybridMultilevel"/>
    <w:tmpl w:val="5F4427DA"/>
    <w:lvl w:ilvl="0" w:tplc="0B729786">
      <w:start w:val="20"/>
      <w:numFmt w:val="bullet"/>
      <w:lvlText w:val="-"/>
      <w:lvlJc w:val="left"/>
      <w:pPr>
        <w:ind w:left="720" w:hanging="360"/>
      </w:pPr>
      <w:rPr>
        <w:rFonts w:ascii="Arial Narrow" w:eastAsia="Times New Roman" w:hAnsi="Arial Narrow"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78413555"/>
    <w:multiLevelType w:val="hybridMultilevel"/>
    <w:tmpl w:val="77EC132A"/>
    <w:lvl w:ilvl="0" w:tplc="040C0001">
      <w:start w:val="1"/>
      <w:numFmt w:val="bullet"/>
      <w:lvlText w:val=""/>
      <w:lvlJc w:val="left"/>
      <w:pPr>
        <w:tabs>
          <w:tab w:val="num" w:pos="700"/>
        </w:tabs>
        <w:ind w:left="680" w:hanging="340"/>
      </w:pPr>
      <w:rPr>
        <w:rFonts w:ascii="Symbol" w:hAnsi="Symbol" w:hint="default"/>
        <w:b w:val="0"/>
        <w:i w:val="0"/>
        <w:color w:val="333333"/>
        <w:sz w:val="20"/>
        <w:u w:val="none"/>
      </w:rPr>
    </w:lvl>
    <w:lvl w:ilvl="1" w:tplc="040C0003" w:tentative="1">
      <w:start w:val="1"/>
      <w:numFmt w:val="bullet"/>
      <w:lvlText w:val="o"/>
      <w:lvlJc w:val="left"/>
      <w:pPr>
        <w:tabs>
          <w:tab w:val="num" w:pos="816"/>
        </w:tabs>
        <w:ind w:left="816" w:hanging="360"/>
      </w:pPr>
      <w:rPr>
        <w:rFonts w:ascii="Courier New" w:hAnsi="Courier New" w:hint="default"/>
      </w:rPr>
    </w:lvl>
    <w:lvl w:ilvl="2" w:tplc="040C0005" w:tentative="1">
      <w:start w:val="1"/>
      <w:numFmt w:val="bullet"/>
      <w:lvlText w:val=""/>
      <w:lvlJc w:val="left"/>
      <w:pPr>
        <w:tabs>
          <w:tab w:val="num" w:pos="1536"/>
        </w:tabs>
        <w:ind w:left="1536" w:hanging="360"/>
      </w:pPr>
      <w:rPr>
        <w:rFonts w:ascii="Wingdings" w:hAnsi="Wingdings" w:hint="default"/>
      </w:rPr>
    </w:lvl>
    <w:lvl w:ilvl="3" w:tplc="040C0001" w:tentative="1">
      <w:start w:val="1"/>
      <w:numFmt w:val="bullet"/>
      <w:lvlText w:val=""/>
      <w:lvlJc w:val="left"/>
      <w:pPr>
        <w:tabs>
          <w:tab w:val="num" w:pos="2256"/>
        </w:tabs>
        <w:ind w:left="2256" w:hanging="360"/>
      </w:pPr>
      <w:rPr>
        <w:rFonts w:ascii="Symbol" w:hAnsi="Symbol" w:hint="default"/>
      </w:rPr>
    </w:lvl>
    <w:lvl w:ilvl="4" w:tplc="040C0003" w:tentative="1">
      <w:start w:val="1"/>
      <w:numFmt w:val="bullet"/>
      <w:lvlText w:val="o"/>
      <w:lvlJc w:val="left"/>
      <w:pPr>
        <w:tabs>
          <w:tab w:val="num" w:pos="2976"/>
        </w:tabs>
        <w:ind w:left="2976" w:hanging="360"/>
      </w:pPr>
      <w:rPr>
        <w:rFonts w:ascii="Courier New" w:hAnsi="Courier New" w:hint="default"/>
      </w:rPr>
    </w:lvl>
    <w:lvl w:ilvl="5" w:tplc="040C0005" w:tentative="1">
      <w:start w:val="1"/>
      <w:numFmt w:val="bullet"/>
      <w:lvlText w:val=""/>
      <w:lvlJc w:val="left"/>
      <w:pPr>
        <w:tabs>
          <w:tab w:val="num" w:pos="3696"/>
        </w:tabs>
        <w:ind w:left="3696" w:hanging="360"/>
      </w:pPr>
      <w:rPr>
        <w:rFonts w:ascii="Wingdings" w:hAnsi="Wingdings" w:hint="default"/>
      </w:rPr>
    </w:lvl>
    <w:lvl w:ilvl="6" w:tplc="040C0001" w:tentative="1">
      <w:start w:val="1"/>
      <w:numFmt w:val="bullet"/>
      <w:lvlText w:val=""/>
      <w:lvlJc w:val="left"/>
      <w:pPr>
        <w:tabs>
          <w:tab w:val="num" w:pos="4416"/>
        </w:tabs>
        <w:ind w:left="4416" w:hanging="360"/>
      </w:pPr>
      <w:rPr>
        <w:rFonts w:ascii="Symbol" w:hAnsi="Symbol" w:hint="default"/>
      </w:rPr>
    </w:lvl>
    <w:lvl w:ilvl="7" w:tplc="040C0003" w:tentative="1">
      <w:start w:val="1"/>
      <w:numFmt w:val="bullet"/>
      <w:lvlText w:val="o"/>
      <w:lvlJc w:val="left"/>
      <w:pPr>
        <w:tabs>
          <w:tab w:val="num" w:pos="5136"/>
        </w:tabs>
        <w:ind w:left="5136" w:hanging="360"/>
      </w:pPr>
      <w:rPr>
        <w:rFonts w:ascii="Courier New" w:hAnsi="Courier New" w:hint="default"/>
      </w:rPr>
    </w:lvl>
    <w:lvl w:ilvl="8" w:tplc="040C0005" w:tentative="1">
      <w:start w:val="1"/>
      <w:numFmt w:val="bullet"/>
      <w:lvlText w:val=""/>
      <w:lvlJc w:val="left"/>
      <w:pPr>
        <w:tabs>
          <w:tab w:val="num" w:pos="5856"/>
        </w:tabs>
        <w:ind w:left="5856" w:hanging="360"/>
      </w:pPr>
      <w:rPr>
        <w:rFonts w:ascii="Wingdings" w:hAnsi="Wingdings" w:hint="default"/>
      </w:rPr>
    </w:lvl>
  </w:abstractNum>
  <w:num w:numId="1">
    <w:abstractNumId w:val="0"/>
    <w:lvlOverride w:ilvl="0">
      <w:lvl w:ilvl="0">
        <w:start w:val="1"/>
        <w:numFmt w:val="bullet"/>
        <w:pStyle w:val="Anomalies"/>
        <w:lvlText w:val=""/>
        <w:legacy w:legacy="1" w:legacySpace="0" w:legacyIndent="567"/>
        <w:lvlJc w:val="left"/>
        <w:pPr>
          <w:ind w:left="1418" w:hanging="567"/>
        </w:pPr>
        <w:rPr>
          <w:rFonts w:ascii="Wingdings" w:hAnsi="Wingdings" w:hint="default"/>
          <w:sz w:val="36"/>
        </w:rPr>
      </w:lvl>
    </w:lvlOverride>
  </w:num>
  <w:num w:numId="2">
    <w:abstractNumId w:val="13"/>
  </w:num>
  <w:num w:numId="3">
    <w:abstractNumId w:val="10"/>
  </w:num>
  <w:num w:numId="4">
    <w:abstractNumId w:val="12"/>
  </w:num>
  <w:num w:numId="5">
    <w:abstractNumId w:val="5"/>
  </w:num>
  <w:num w:numId="6">
    <w:abstractNumId w:val="8"/>
  </w:num>
  <w:num w:numId="7">
    <w:abstractNumId w:val="11"/>
  </w:num>
  <w:num w:numId="8">
    <w:abstractNumId w:val="6"/>
  </w:num>
  <w:num w:numId="9">
    <w:abstractNumId w:val="9"/>
  </w:num>
  <w:num w:numId="10">
    <w:abstractNumId w:val="4"/>
  </w:num>
  <w:num w:numId="11">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
  </w:num>
  <w:num w:numId="13">
    <w:abstractNumId w:val="15"/>
  </w:num>
  <w:num w:numId="14">
    <w:abstractNumId w:val="2"/>
  </w:num>
  <w:num w:numId="15">
    <w:abstractNumId w:val="10"/>
  </w:num>
  <w:num w:numId="16">
    <w:abstractNumId w:val="13"/>
  </w:num>
  <w:num w:numId="17">
    <w:abstractNumId w:val="14"/>
  </w:num>
  <w:num w:numId="18">
    <w:abstractNumId w:val="10"/>
  </w:num>
  <w:num w:numId="19">
    <w:abstractNumId w:val="13"/>
  </w:num>
  <w:num w:numId="20">
    <w:abstractNumId w:val="13"/>
  </w:num>
  <w:num w:numId="21">
    <w:abstractNumId w:val="7"/>
  </w:num>
  <w:num w:numId="22">
    <w:abstractNumId w:val="5"/>
    <w:lvlOverride w:ilvl="0">
      <w:startOverride w:val="4"/>
    </w:lvlOverride>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9"/>
  <w:hyphenationZone w:val="425"/>
  <w:drawingGridHorizontalSpacing w:val="100"/>
  <w:drawingGridVerticalSpacing w:val="0"/>
  <w:displayHorizontalDrawingGridEvery w:val="0"/>
  <w:displayVerticalDrawingGridEvery w:val="0"/>
  <w:noPunctuationKerning/>
  <w:characterSpacingControl w:val="doNotCompress"/>
  <w:strictFirstAndLastChars/>
  <w:hdrShapeDefaults>
    <o:shapedefaults v:ext="edit" spidmax="30721">
      <o:colormru v:ext="edit" colors="lime,#6ff,#090,aqua,blue,white,#f39,#c11407"/>
    </o:shapedefaults>
  </w:hdrShapeDefault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30721">
      <o:colormru v:ext="edit" colors="lime,#6ff,#090,aqua,blue,white,#f39,#c11407"/>
    </o:shapedefaults>
    <o:shapelayout v:ext="edit">
      <o:idmap v:ext="edit" data="1"/>
    </o:shapelayout>
  </w:shapeDefaults>
  <w:decimalSymbol w:val=","/>
  <w:listSeparator w:val=";"/>
  <w15:docId w15:val="{D47F08A9-62C8-46BA-AA35-699527ADE1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iPriority="0" w:unhideWhenUsed="1" w:qFormat="1"/>
    <w:lsdException w:name="header" w:semiHidden="1" w:uiPriority="0" w:unhideWhenUsed="1" w:qFormat="1"/>
    <w:lsdException w:name="footer" w:semiHidden="1" w:uiPriority="0"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before="120"/>
      <w:jc w:val="both"/>
    </w:pPr>
    <w:rPr>
      <w:rFonts w:ascii="Arial Narrow" w:hAnsi="Arial Narrow"/>
    </w:rPr>
  </w:style>
  <w:style w:type="paragraph" w:styleId="Titre1">
    <w:name w:val="heading 1"/>
    <w:aliases w:val="Titre 1-1,Fiche technique,Chapitre,CHAPITRE,ARTICLE,charte T1,charte T 1,Titre 1 / I,jyf1,Titre 1ceafi,Titre 1 bis,bobT1,TITRE 1 + Droite :  8,5 cm,Avant : 25 pt,Après : 12 pt,Haut: (Simp...,Chapitre1,Chapitre2,Chapitre3,Chapitre4,Chapitre5"/>
    <w:basedOn w:val="Normal"/>
    <w:next w:val="Normal"/>
    <w:link w:val="Titre1Car"/>
    <w:qFormat/>
    <w:pPr>
      <w:keepNext/>
      <w:numPr>
        <w:numId w:val="5"/>
      </w:numPr>
      <w:pBdr>
        <w:bottom w:val="single" w:sz="12" w:space="4" w:color="7AC043"/>
      </w:pBdr>
      <w:spacing w:before="4000" w:after="240"/>
      <w:jc w:val="left"/>
      <w:outlineLvl w:val="0"/>
    </w:pPr>
    <w:rPr>
      <w:b/>
      <w:smallCaps/>
      <w:color w:val="333333"/>
      <w:kern w:val="28"/>
      <w:sz w:val="48"/>
    </w:rPr>
  </w:style>
  <w:style w:type="paragraph" w:styleId="Titre2">
    <w:name w:val="heading 2"/>
    <w:aliases w:val="Titre 2-1,sous-chapitre,new,titre 2,charte T2,Titre 2 / 1.,Titre 2ceafi,Sous-Titre,/titres paragraphes,Chpt,Tend_Überschrift 2,Arial 12 Fett Kursiv,ASAPHeading 2,Chapter Title,R&amp;S - Titre 2,tt,Fonctionnalité,Titre 21,t2.T2,Table2,H2,Heading 2,h2"/>
    <w:basedOn w:val="Normal"/>
    <w:next w:val="Normal"/>
    <w:link w:val="Titre2Car"/>
    <w:qFormat/>
    <w:pPr>
      <w:numPr>
        <w:ilvl w:val="1"/>
        <w:numId w:val="5"/>
      </w:numPr>
      <w:spacing w:before="240" w:after="80"/>
      <w:jc w:val="left"/>
      <w:outlineLvl w:val="1"/>
    </w:pPr>
    <w:rPr>
      <w:b/>
      <w:color w:val="333333"/>
      <w:sz w:val="32"/>
    </w:rPr>
  </w:style>
  <w:style w:type="paragraph" w:styleId="Titre3">
    <w:name w:val="heading 3"/>
    <w:aliases w:val="Titre 3ceafi,T3,InterTitre,Section,Sec,Centered,Section + Gauche,6 cm,Avant : 24 pt + Gau...,Gauche :  0 cm,Suspendu : 1,Arial 12 Fett,ASAPHeading 3,hd3,h3,R&amp;S - Titre 3,Titre 3 SQ,Titre 3 DD,Contrat 3,l3,CT,3,Titre 31,t3.T3,Heading3_Titre3,ttt"/>
    <w:basedOn w:val="Normal"/>
    <w:next w:val="Normal"/>
    <w:link w:val="Titre3Car"/>
    <w:qFormat/>
    <w:pPr>
      <w:numPr>
        <w:ilvl w:val="2"/>
        <w:numId w:val="5"/>
      </w:numPr>
      <w:spacing w:before="160" w:after="40"/>
      <w:jc w:val="left"/>
      <w:outlineLvl w:val="2"/>
    </w:pPr>
    <w:rPr>
      <w:b/>
      <w:iCs/>
      <w:color w:val="333333"/>
      <w:sz w:val="28"/>
    </w:rPr>
  </w:style>
  <w:style w:type="paragraph" w:styleId="Titre4">
    <w:name w:val="heading 4"/>
    <w:aliases w:val="Sous-Section,Sous-Sectipson,MainPara,Centred,Cen.,T4,Sous-Sectipson + Gauche :  0 cm,Premiè...,Première ligne : 0 cm...,Première ligne : 0 cm,Paragraphe,ASAPHeading 4,hd4,R&amp;S - Titre 4,h4,Contrat 4,l4,I4,Titre 41,t4.T4,Heading4_Titre4,H41,H42,H4"/>
    <w:basedOn w:val="Normal"/>
    <w:next w:val="Normal"/>
    <w:link w:val="Titre4Car"/>
    <w:qFormat/>
    <w:pPr>
      <w:keepNext/>
      <w:numPr>
        <w:ilvl w:val="3"/>
        <w:numId w:val="5"/>
      </w:numPr>
      <w:spacing w:before="160"/>
      <w:jc w:val="left"/>
      <w:outlineLvl w:val="3"/>
    </w:pPr>
    <w:rPr>
      <w:b/>
      <w:color w:val="333333"/>
      <w:spacing w:val="20"/>
      <w:sz w:val="24"/>
    </w:rPr>
  </w:style>
  <w:style w:type="paragraph" w:styleId="Titre5">
    <w:name w:val="heading 5"/>
    <w:aliases w:val="Titre 1b,Side,Article,Roman list,Lev 5,5 sub-bullet,sb,H5,Titre 1.1111,Aston T5,(Shift Ctrl 5),DO NOT USE_h5,h5,Block Label,T5,heading 5,a),NCS-H5,Level 3 - i,Chapitre 1.1.1.1.,niveau 5,Sous-chapitre (niveau 4),Org Heading 3,Titre51,t5,H51"/>
    <w:basedOn w:val="Normal"/>
    <w:next w:val="Normal"/>
    <w:link w:val="Titre5Car"/>
    <w:qFormat/>
    <w:pPr>
      <w:numPr>
        <w:ilvl w:val="4"/>
        <w:numId w:val="5"/>
      </w:numPr>
      <w:spacing w:before="160"/>
      <w:outlineLvl w:val="4"/>
    </w:pPr>
    <w:rPr>
      <w:b/>
      <w:color w:val="333333"/>
      <w:sz w:val="22"/>
    </w:rPr>
  </w:style>
  <w:style w:type="paragraph" w:styleId="Titre6">
    <w:name w:val="heading 6"/>
    <w:aliases w:val="Alinéa,Bullet list,Lev 6,sub-dash,sd,5,H6,Annexe1,Aston T6,(Shift Ctrl 6),DO NOT USE_h6,Niveau 6,Niveau6,Legal Level 1.,6,Appendix,Annexe,h6,appendix flysheet,Renvoi Noir,Ref Heading 3,rh3,Ref Heading 31,rh31,H61,Third Subheading,Edf Titre 6,T6"/>
    <w:basedOn w:val="Normal"/>
    <w:next w:val="Normal"/>
    <w:link w:val="Titre6Car"/>
    <w:qFormat/>
    <w:pPr>
      <w:numPr>
        <w:ilvl w:val="5"/>
        <w:numId w:val="5"/>
      </w:numPr>
      <w:spacing w:before="160"/>
      <w:outlineLvl w:val="5"/>
    </w:pPr>
    <w:rPr>
      <w:b/>
      <w:color w:val="333333"/>
    </w:rPr>
  </w:style>
  <w:style w:type="paragraph" w:styleId="Titre7">
    <w:name w:val="heading 7"/>
    <w:aliases w:val="letter list,lettered list,Lev 7,H7,Annexe2,Aston T7,(Shift Ctrl 7),T7,1.2.3.4.5.6.7.,Legal Level 1.1.,L7,Annexe 1,figure caption,Renvoi Bleu,Edf Titre 7,Heading 7 CFMU,Chapitre niveau 7,nul,h7,Heading 7,heading 7,Do Not Use3,7,ASAPHeading 7,req3"/>
    <w:basedOn w:val="Normal"/>
    <w:next w:val="Normal"/>
    <w:link w:val="Titre7Car"/>
    <w:qFormat/>
    <w:pPr>
      <w:numPr>
        <w:ilvl w:val="6"/>
        <w:numId w:val="5"/>
      </w:numPr>
      <w:outlineLvl w:val="6"/>
    </w:pPr>
    <w:rPr>
      <w:b/>
      <w:color w:val="000000"/>
    </w:rPr>
  </w:style>
  <w:style w:type="paragraph" w:styleId="Titre8">
    <w:name w:val="heading 8"/>
    <w:aliases w:val="Lev 8,Center Bold,action,Annexe3,Aston Légende,t,Text, action,T8,text,Legal Level 1.1.1.,Annexe 2,table caption,Renvoi Rouge,Edf Titre 8,Heading 8 CFMU,Chapitre niveau 8,h8,Heading 8,heading 8,Do Not Use2,Annexe 31,Annexe 32,Annexe 33,Annexe 34"/>
    <w:basedOn w:val="Normal"/>
    <w:next w:val="Normal"/>
    <w:link w:val="Titre8Car"/>
    <w:qFormat/>
    <w:pPr>
      <w:numPr>
        <w:ilvl w:val="7"/>
        <w:numId w:val="5"/>
      </w:numPr>
      <w:spacing w:before="240" w:after="60"/>
      <w:outlineLvl w:val="7"/>
    </w:pPr>
    <w:rPr>
      <w:i/>
    </w:rPr>
  </w:style>
  <w:style w:type="paragraph" w:styleId="Titre9">
    <w:name w:val="heading 9"/>
    <w:aliases w:val="Heading 9-paranum,Lev 9,progress,Annexe4, progress,App Heading,Legal Level 1.1.1.1.,Annexe 3,Renvoi Vert,Edf Titre 9,Heading 9 CFMU,Chapitre niveau 9,h9,RFP Reference,Heading 9,Do Not Use1,titre l1c1,titre l1c11,titre l1c12,titre l1c13,Annexe 4"/>
    <w:basedOn w:val="Normal"/>
    <w:next w:val="Normal"/>
    <w:link w:val="Titre9Car"/>
    <w:qFormat/>
    <w:pPr>
      <w:numPr>
        <w:ilvl w:val="8"/>
        <w:numId w:val="5"/>
      </w:numPr>
      <w:spacing w:before="240" w:after="60"/>
      <w:outlineLvl w:val="8"/>
    </w:pPr>
    <w:rPr>
      <w:i/>
      <w:sz w:val="1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aliases w:val="Titre 1-1 Car,Fiche technique Car,Chapitre Car,CHAPITRE Car,ARTICLE Car,charte T1 Car,charte T 1 Car,Titre 1 / I Car,jyf1 Car,Titre 1ceafi Car,Titre 1 bis Car,bobT1 Car,TITRE 1 + Droite :  8 Car,5 cm Car,Avant : 25 pt Car,Après : 12 pt Car"/>
    <w:basedOn w:val="Policepardfaut"/>
    <w:link w:val="Titre1"/>
    <w:rPr>
      <w:rFonts w:ascii="Arial Narrow" w:hAnsi="Arial Narrow"/>
      <w:b/>
      <w:smallCaps/>
      <w:color w:val="333333"/>
      <w:kern w:val="28"/>
      <w:sz w:val="48"/>
    </w:rPr>
  </w:style>
  <w:style w:type="character" w:customStyle="1" w:styleId="Titre2Car">
    <w:name w:val="Titre 2 Car"/>
    <w:aliases w:val="Titre 2-1 Car,sous-chapitre Car,new Car,titre 2 Car,charte T2 Car,Titre 2 / 1. Car,Titre 2ceafi Car,Sous-Titre Car,/titres paragraphes Car,Chpt Car,Tend_Überschrift 2 Car,Arial 12 Fett Kursiv Car,ASAPHeading 2 Car,Chapter Title Car,tt Car"/>
    <w:basedOn w:val="Policepardfaut"/>
    <w:link w:val="Titre2"/>
    <w:rPr>
      <w:rFonts w:ascii="Arial Narrow" w:hAnsi="Arial Narrow"/>
      <w:b/>
      <w:color w:val="333333"/>
      <w:sz w:val="32"/>
    </w:rPr>
  </w:style>
  <w:style w:type="character" w:customStyle="1" w:styleId="Titre3Car">
    <w:name w:val="Titre 3 Car"/>
    <w:aliases w:val="Titre 3ceafi Car,T3 Car,InterTitre Car,Section Car,Sec Car,Centered Car,Section + Gauche Car,6 cm Car,Avant : 24 pt + Gau... Car,Gauche :  0 cm Car,Suspendu : 1 Car,Arial 12 Fett Car,ASAPHeading 3 Car,hd3 Car,h3 Car,R&amp;S - Titre 3 Car,l3 Car"/>
    <w:basedOn w:val="Policepardfaut"/>
    <w:link w:val="Titre3"/>
    <w:rPr>
      <w:rFonts w:ascii="Arial Narrow" w:hAnsi="Arial Narrow"/>
      <w:b/>
      <w:iCs/>
      <w:color w:val="333333"/>
      <w:sz w:val="28"/>
    </w:rPr>
  </w:style>
  <w:style w:type="character" w:customStyle="1" w:styleId="Titre4Car">
    <w:name w:val="Titre 4 Car"/>
    <w:aliases w:val="Sous-Section Car,Sous-Sectipson Car,MainPara Car,Centred Car,Cen. Car,T4 Car,Sous-Sectipson + Gauche :  0 cm Car,Premiè... Car,Première ligne : 0 cm... Car,Première ligne : 0 cm Car,Paragraphe Car,ASAPHeading 4 Car,hd4 Car,R&amp;S - Titre 4 Car"/>
    <w:basedOn w:val="Policepardfaut"/>
    <w:link w:val="Titre4"/>
    <w:rPr>
      <w:rFonts w:ascii="Arial Narrow" w:hAnsi="Arial Narrow"/>
      <w:b/>
      <w:color w:val="333333"/>
      <w:spacing w:val="20"/>
      <w:sz w:val="24"/>
    </w:rPr>
  </w:style>
  <w:style w:type="character" w:customStyle="1" w:styleId="Titre5Car">
    <w:name w:val="Titre 5 Car"/>
    <w:aliases w:val="Titre 1b Car,Side Car,Article Car,Roman list Car,Lev 5 Car,5 sub-bullet Car,sb Car,H5 Car,Titre 1.1111 Car,Aston T5 Car,(Shift Ctrl 5) Car,DO NOT USE_h5 Car,h5 Car,Block Label Car,T5 Car,heading 5 Car,a) Car,NCS-H5 Car,Level 3 - i Car,t5 Car"/>
    <w:basedOn w:val="Policepardfaut"/>
    <w:link w:val="Titre5"/>
    <w:rPr>
      <w:rFonts w:ascii="Arial Narrow" w:hAnsi="Arial Narrow"/>
      <w:b/>
      <w:color w:val="333333"/>
      <w:sz w:val="22"/>
    </w:rPr>
  </w:style>
  <w:style w:type="character" w:customStyle="1" w:styleId="Titre6Car">
    <w:name w:val="Titre 6 Car"/>
    <w:aliases w:val="Alinéa Car,Bullet list Car,Lev 6 Car,sub-dash Car,sd Car,5 Car,H6 Car,Annexe1 Car,Aston T6 Car,(Shift Ctrl 6) Car,DO NOT USE_h6 Car,Niveau 6 Car,Niveau6 Car,Legal Level 1. Car,6 Car,Appendix Car,Annexe Car,h6 Car,appendix flysheet Car,T6 Car"/>
    <w:basedOn w:val="Policepardfaut"/>
    <w:link w:val="Titre6"/>
    <w:rPr>
      <w:rFonts w:ascii="Arial Narrow" w:hAnsi="Arial Narrow"/>
      <w:b/>
      <w:color w:val="333333"/>
    </w:rPr>
  </w:style>
  <w:style w:type="character" w:customStyle="1" w:styleId="Titre7Car">
    <w:name w:val="Titre 7 Car"/>
    <w:aliases w:val="letter list Car,lettered list Car,Lev 7 Car,H7 Car,Annexe2 Car,Aston T7 Car,(Shift Ctrl 7) Car,T7 Car,1.2.3.4.5.6.7. Car,Legal Level 1.1. Car,L7 Car,Annexe 1 Car,figure caption Car,Renvoi Bleu Car,Edf Titre 7 Car,Heading 7 CFMU Car,nul Car"/>
    <w:basedOn w:val="Policepardfaut"/>
    <w:link w:val="Titre7"/>
    <w:rPr>
      <w:rFonts w:ascii="Arial Narrow" w:hAnsi="Arial Narrow"/>
      <w:b/>
      <w:color w:val="000000"/>
    </w:rPr>
  </w:style>
  <w:style w:type="character" w:customStyle="1" w:styleId="Titre8Car">
    <w:name w:val="Titre 8 Car"/>
    <w:aliases w:val="Lev 8 Car,Center Bold Car,action Car,Annexe3 Car,Aston Légende Car,t Car,Text Car, action Car,T8 Car,text Car,Legal Level 1.1.1. Car,Annexe 2 Car,table caption Car,Renvoi Rouge Car,Edf Titre 8 Car,Heading 8 CFMU Car,Chapitre niveau 8 Car"/>
    <w:basedOn w:val="Policepardfaut"/>
    <w:link w:val="Titre8"/>
    <w:rPr>
      <w:rFonts w:ascii="Arial Narrow" w:hAnsi="Arial Narrow"/>
      <w:i/>
    </w:rPr>
  </w:style>
  <w:style w:type="character" w:customStyle="1" w:styleId="Titre9Car">
    <w:name w:val="Titre 9 Car"/>
    <w:aliases w:val="Heading 9-paranum Car,Lev 9 Car,progress Car,Annexe4 Car, progress Car,App Heading Car,Legal Level 1.1.1.1. Car,Annexe 3 Car,Renvoi Vert Car,Edf Titre 9 Car,Heading 9 CFMU Car,Chapitre niveau 9 Car,h9 Car,RFP Reference Car,Heading 9 Car"/>
    <w:basedOn w:val="Policepardfaut"/>
    <w:link w:val="Titre9"/>
    <w:rPr>
      <w:rFonts w:ascii="Arial Narrow" w:hAnsi="Arial Narrow"/>
      <w:i/>
      <w:sz w:val="18"/>
    </w:rPr>
  </w:style>
  <w:style w:type="paragraph" w:styleId="Titre">
    <w:name w:val="Title"/>
    <w:basedOn w:val="Normal"/>
    <w:qFormat/>
    <w:pPr>
      <w:spacing w:before="0"/>
      <w:jc w:val="center"/>
    </w:pPr>
    <w:rPr>
      <w:rFonts w:cs="Arial"/>
      <w:b/>
      <w:bCs/>
      <w:sz w:val="24"/>
      <w:szCs w:val="24"/>
    </w:rPr>
  </w:style>
  <w:style w:type="paragraph" w:styleId="Corpsdetexte">
    <w:name w:val="Body Text"/>
    <w:basedOn w:val="Normal"/>
    <w:link w:val="CorpsdetexteCar"/>
    <w:uiPriority w:val="99"/>
    <w:semiHidden/>
    <w:pPr>
      <w:spacing w:before="0" w:after="120"/>
    </w:pPr>
  </w:style>
  <w:style w:type="paragraph" w:styleId="Liste">
    <w:name w:val="List"/>
    <w:basedOn w:val="Corpsdetexte"/>
    <w:semiHidden/>
    <w:qFormat/>
    <w:rPr>
      <w:rFonts w:cs="Tahoma"/>
    </w:rPr>
  </w:style>
  <w:style w:type="paragraph" w:styleId="Lgende">
    <w:name w:val="caption"/>
    <w:basedOn w:val="Normal"/>
    <w:qFormat/>
    <w:pPr>
      <w:suppressLineNumbers/>
      <w:spacing w:after="120"/>
    </w:pPr>
    <w:rPr>
      <w:rFonts w:cs="Tahoma"/>
      <w:i/>
      <w:iCs/>
      <w:szCs w:val="24"/>
    </w:rPr>
  </w:style>
  <w:style w:type="paragraph" w:customStyle="1" w:styleId="Rpertoire">
    <w:name w:val="Répertoire"/>
    <w:basedOn w:val="Normal"/>
    <w:pPr>
      <w:suppressLineNumbers/>
    </w:pPr>
    <w:rPr>
      <w:rFonts w:cs="Tahoma"/>
    </w:rPr>
  </w:style>
  <w:style w:type="paragraph" w:styleId="En-tte">
    <w:name w:val="header"/>
    <w:basedOn w:val="Normal"/>
    <w:link w:val="En-tteCar"/>
    <w:qFormat/>
    <w:pPr>
      <w:tabs>
        <w:tab w:val="center" w:pos="4536"/>
        <w:tab w:val="right" w:pos="9072"/>
      </w:tabs>
      <w:spacing w:before="0"/>
      <w:jc w:val="left"/>
    </w:pPr>
    <w:rPr>
      <w:sz w:val="16"/>
    </w:rPr>
  </w:style>
  <w:style w:type="character" w:customStyle="1" w:styleId="En-tteCar">
    <w:name w:val="En-tête Car"/>
    <w:link w:val="En-tte"/>
    <w:uiPriority w:val="99"/>
    <w:rPr>
      <w:rFonts w:ascii="Arial Narrow" w:hAnsi="Arial Narrow"/>
      <w:sz w:val="16"/>
    </w:rPr>
  </w:style>
  <w:style w:type="paragraph" w:styleId="Pieddepage">
    <w:name w:val="footer"/>
    <w:basedOn w:val="Normal"/>
    <w:link w:val="PieddepageCar"/>
    <w:pPr>
      <w:tabs>
        <w:tab w:val="center" w:pos="4536"/>
        <w:tab w:val="right" w:pos="9072"/>
      </w:tabs>
      <w:jc w:val="center"/>
    </w:pPr>
    <w:rPr>
      <w:sz w:val="16"/>
    </w:rPr>
  </w:style>
  <w:style w:type="character" w:customStyle="1" w:styleId="PieddepageCar">
    <w:name w:val="Pied de page Car"/>
    <w:link w:val="Pieddepage"/>
    <w:rPr>
      <w:rFonts w:ascii="Arial Narrow" w:hAnsi="Arial Narrow"/>
      <w:sz w:val="16"/>
    </w:rPr>
  </w:style>
  <w:style w:type="paragraph" w:customStyle="1" w:styleId="Nomfichier">
    <w:name w:val="Nom fichier"/>
    <w:basedOn w:val="Normal"/>
    <w:qFormat/>
    <w:pPr>
      <w:spacing w:before="0"/>
      <w:jc w:val="right"/>
    </w:pPr>
    <w:rPr>
      <w:sz w:val="10"/>
    </w:rPr>
  </w:style>
  <w:style w:type="paragraph" w:customStyle="1" w:styleId="Adresse">
    <w:name w:val="Adresse"/>
    <w:basedOn w:val="Normal"/>
    <w:pPr>
      <w:spacing w:before="0"/>
      <w:ind w:left="5103"/>
      <w:jc w:val="left"/>
    </w:pPr>
    <w:rPr>
      <w:b/>
    </w:rPr>
  </w:style>
  <w:style w:type="paragraph" w:customStyle="1" w:styleId="Anomalies">
    <w:name w:val="Anomalies"/>
    <w:basedOn w:val="Normal"/>
    <w:qFormat/>
    <w:pPr>
      <w:numPr>
        <w:numId w:val="1"/>
      </w:numPr>
      <w:spacing w:before="100"/>
    </w:pPr>
    <w:rPr>
      <w:i/>
    </w:rPr>
  </w:style>
  <w:style w:type="paragraph" w:customStyle="1" w:styleId="Anomaliesdangereuses">
    <w:name w:val="Anomalies dangereuses"/>
    <w:basedOn w:val="Anomalies"/>
    <w:pPr>
      <w:numPr>
        <w:numId w:val="0"/>
      </w:numPr>
      <w:ind w:left="1418" w:hanging="567"/>
    </w:pPr>
    <w:rPr>
      <w:b/>
    </w:rPr>
  </w:style>
  <w:style w:type="character" w:styleId="Appeldenotedefin">
    <w:name w:val="endnote reference"/>
    <w:basedOn w:val="Policepardfaut"/>
    <w:semiHidden/>
    <w:rPr>
      <w:rFonts w:ascii="Arial" w:hAnsi="Arial"/>
      <w:i/>
      <w:sz w:val="18"/>
      <w:vertAlign w:val="superscript"/>
    </w:rPr>
  </w:style>
  <w:style w:type="character" w:styleId="Appelnotedebasdep">
    <w:name w:val="footnote reference"/>
    <w:basedOn w:val="Policepardfaut"/>
    <w:rPr>
      <w:rFonts w:ascii="Arial" w:hAnsi="Arial"/>
      <w:i/>
      <w:sz w:val="18"/>
      <w:vertAlign w:val="superscript"/>
    </w:rPr>
  </w:style>
  <w:style w:type="character" w:styleId="CitationHTML">
    <w:name w:val="HTML Cite"/>
    <w:basedOn w:val="Policepardfaut"/>
    <w:semiHidden/>
    <w:rPr>
      <w:rFonts w:ascii="Arial" w:hAnsi="Arial"/>
      <w:iCs/>
      <w:sz w:val="20"/>
    </w:rPr>
  </w:style>
  <w:style w:type="paragraph" w:styleId="Commentaire">
    <w:name w:val="annotation text"/>
    <w:basedOn w:val="Normal"/>
    <w:link w:val="CommentaireCar"/>
    <w:semiHidden/>
    <w:qFormat/>
  </w:style>
  <w:style w:type="character" w:customStyle="1" w:styleId="CommentaireCar">
    <w:name w:val="Commentaire Car"/>
    <w:basedOn w:val="Policepardfaut"/>
    <w:link w:val="Commentaire"/>
    <w:semiHidden/>
    <w:rPr>
      <w:rFonts w:ascii="Arial Narrow" w:hAnsi="Arial Narrow"/>
    </w:rPr>
  </w:style>
  <w:style w:type="paragraph" w:customStyle="1" w:styleId="Corpslettre">
    <w:name w:val="Corps lettre"/>
    <w:basedOn w:val="Normal"/>
    <w:pPr>
      <w:ind w:firstLine="567"/>
    </w:pPr>
  </w:style>
  <w:style w:type="paragraph" w:styleId="Date">
    <w:name w:val="Date"/>
    <w:basedOn w:val="Normal"/>
    <w:next w:val="Adresse"/>
    <w:semiHidden/>
    <w:pPr>
      <w:spacing w:before="0" w:after="360"/>
      <w:ind w:left="5103"/>
      <w:jc w:val="left"/>
    </w:pPr>
  </w:style>
  <w:style w:type="paragraph" w:customStyle="1" w:styleId="Dpart-Suivi">
    <w:name w:val="Départ - Suivi"/>
    <w:basedOn w:val="Normal"/>
    <w:next w:val="Normal"/>
    <w:pPr>
      <w:spacing w:before="40"/>
    </w:pPr>
    <w:rPr>
      <w:i/>
    </w:rPr>
  </w:style>
  <w:style w:type="character" w:styleId="Lienhypertexte">
    <w:name w:val="Hyperlink"/>
    <w:basedOn w:val="Policepardfaut"/>
    <w:uiPriority w:val="99"/>
    <w:rPr>
      <w:rFonts w:ascii="Arial" w:hAnsi="Arial"/>
      <w:color w:val="0000FF"/>
      <w:sz w:val="20"/>
      <w:u w:val="single"/>
    </w:rPr>
  </w:style>
  <w:style w:type="character" w:styleId="Lienhypertextesuivivisit">
    <w:name w:val="FollowedHyperlink"/>
    <w:basedOn w:val="Policepardfaut"/>
    <w:semiHidden/>
    <w:rPr>
      <w:rFonts w:ascii="Arial" w:hAnsi="Arial"/>
      <w:color w:val="800080"/>
      <w:sz w:val="20"/>
      <w:u w:val="single"/>
    </w:rPr>
  </w:style>
  <w:style w:type="character" w:styleId="Marquedecommentaire">
    <w:name w:val="annotation reference"/>
    <w:basedOn w:val="Policepardfaut"/>
    <w:semiHidden/>
    <w:rPr>
      <w:sz w:val="16"/>
    </w:rPr>
  </w:style>
  <w:style w:type="paragraph" w:customStyle="1" w:styleId="NRfrences">
    <w:name w:val="N/Références"/>
    <w:basedOn w:val="Normal"/>
    <w:next w:val="Dpart-Suivi"/>
    <w:pPr>
      <w:spacing w:before="0"/>
    </w:pPr>
    <w:rPr>
      <w:i/>
      <w:sz w:val="18"/>
    </w:rPr>
  </w:style>
  <w:style w:type="paragraph" w:customStyle="1" w:styleId="Retrait1">
    <w:name w:val="Retrait1"/>
    <w:basedOn w:val="Normal"/>
    <w:link w:val="Retrait1Car"/>
    <w:qFormat/>
    <w:pPr>
      <w:numPr>
        <w:numId w:val="2"/>
      </w:numPr>
      <w:tabs>
        <w:tab w:val="left" w:pos="680"/>
      </w:tabs>
    </w:pPr>
    <w:rPr>
      <w:rFonts w:cs="Arial"/>
      <w:b/>
    </w:rPr>
  </w:style>
  <w:style w:type="character" w:customStyle="1" w:styleId="Retrait1Car">
    <w:name w:val="Retrait1 Car"/>
    <w:link w:val="Retrait1"/>
    <w:rPr>
      <w:rFonts w:ascii="Arial Narrow" w:hAnsi="Arial Narrow" w:cs="Arial"/>
      <w:b/>
    </w:rPr>
  </w:style>
  <w:style w:type="paragraph" w:customStyle="1" w:styleId="Nominterlocuteur">
    <w:name w:val="Nom interlocuteur"/>
    <w:basedOn w:val="Retrait1"/>
    <w:pPr>
      <w:numPr>
        <w:numId w:val="0"/>
      </w:numPr>
    </w:pPr>
    <w:rPr>
      <w:smallCaps/>
    </w:rPr>
  </w:style>
  <w:style w:type="paragraph" w:styleId="NormalWeb">
    <w:name w:val="Normal (Web)"/>
    <w:basedOn w:val="Normal"/>
    <w:qFormat/>
    <w:pPr>
      <w:spacing w:before="100" w:beforeAutospacing="1" w:after="119"/>
      <w:jc w:val="left"/>
    </w:pPr>
    <w:rPr>
      <w:rFonts w:ascii="Arial Unicode MS" w:eastAsia="Arial Unicode MS" w:hAnsi="Arial Unicode MS" w:cs="Arial Unicode MS"/>
      <w:sz w:val="24"/>
      <w:szCs w:val="24"/>
    </w:rPr>
  </w:style>
  <w:style w:type="character" w:styleId="Numrodepage">
    <w:name w:val="page number"/>
    <w:basedOn w:val="Policepardfaut"/>
    <w:semiHidden/>
    <w:rPr>
      <w:rFonts w:ascii="Arial" w:hAnsi="Arial"/>
      <w:sz w:val="16"/>
    </w:rPr>
  </w:style>
  <w:style w:type="paragraph" w:customStyle="1" w:styleId="Objet">
    <w:name w:val="Objet"/>
    <w:basedOn w:val="Normal"/>
    <w:next w:val="Normal"/>
    <w:pPr>
      <w:spacing w:before="40"/>
    </w:pPr>
    <w:rPr>
      <w:b/>
    </w:rPr>
  </w:style>
  <w:style w:type="paragraph" w:customStyle="1" w:styleId="PiedSige">
    <w:name w:val="Pied Siège"/>
    <w:basedOn w:val="Pieddepage"/>
    <w:rPr>
      <w:b/>
      <w:sz w:val="12"/>
    </w:rPr>
  </w:style>
  <w:style w:type="paragraph" w:customStyle="1" w:styleId="Prescriptions">
    <w:name w:val="Prescriptions"/>
    <w:basedOn w:val="Normal"/>
    <w:pPr>
      <w:spacing w:before="100"/>
      <w:ind w:left="1418" w:hanging="567"/>
    </w:pPr>
    <w:rPr>
      <w:rFonts w:cs="Arial"/>
      <w:i/>
    </w:rPr>
  </w:style>
  <w:style w:type="paragraph" w:customStyle="1" w:styleId="Titrecouverture1">
    <w:name w:val="Titre couverture 1"/>
    <w:basedOn w:val="Titrecouverture"/>
    <w:rPr>
      <w:sz w:val="28"/>
    </w:rPr>
  </w:style>
  <w:style w:type="paragraph" w:customStyle="1" w:styleId="Titrecouverture">
    <w:name w:val="Titre couverture"/>
    <w:basedOn w:val="Normal"/>
    <w:next w:val="Normal"/>
    <w:pPr>
      <w:shd w:val="clear" w:color="auto" w:fill="7AC043"/>
      <w:spacing w:before="0"/>
      <w:jc w:val="center"/>
    </w:pPr>
    <w:rPr>
      <w:rFonts w:ascii="Century Gothic" w:hAnsi="Century Gothic"/>
      <w:b/>
      <w:smallCaps/>
      <w:color w:val="FFFFFF"/>
      <w:kern w:val="28"/>
      <w:sz w:val="52"/>
    </w:rPr>
  </w:style>
  <w:style w:type="paragraph" w:customStyle="1" w:styleId="Retrait20">
    <w:name w:val="Retrait2"/>
    <w:basedOn w:val="Normal"/>
    <w:link w:val="Retrait2Car"/>
    <w:qFormat/>
    <w:pPr>
      <w:numPr>
        <w:numId w:val="3"/>
      </w:numPr>
      <w:tabs>
        <w:tab w:val="left" w:pos="964"/>
      </w:tabs>
      <w:spacing w:before="80"/>
    </w:pPr>
    <w:rPr>
      <w:rFonts w:cs="Arial"/>
    </w:rPr>
  </w:style>
  <w:style w:type="character" w:customStyle="1" w:styleId="Retrait2Car">
    <w:name w:val="Retrait2 Car"/>
    <w:link w:val="Retrait20"/>
    <w:rPr>
      <w:rFonts w:ascii="Arial Narrow" w:hAnsi="Arial Narrow" w:cs="Arial"/>
    </w:rPr>
  </w:style>
  <w:style w:type="paragraph" w:customStyle="1" w:styleId="Retrait3">
    <w:name w:val="Retrait3"/>
    <w:basedOn w:val="Normal"/>
    <w:qFormat/>
    <w:pPr>
      <w:numPr>
        <w:numId w:val="4"/>
      </w:numPr>
      <w:tabs>
        <w:tab w:val="left" w:pos="964"/>
      </w:tabs>
      <w:spacing w:before="40"/>
    </w:pPr>
    <w:rPr>
      <w:rFonts w:cs="Arial"/>
    </w:rPr>
  </w:style>
  <w:style w:type="paragraph" w:customStyle="1" w:styleId="Signataire">
    <w:name w:val="Signataire"/>
    <w:basedOn w:val="Normal"/>
    <w:next w:val="Normal"/>
    <w:pPr>
      <w:ind w:left="5103"/>
      <w:jc w:val="left"/>
    </w:pPr>
  </w:style>
  <w:style w:type="paragraph" w:customStyle="1" w:styleId="Soustitredecouverture">
    <w:name w:val="Sous titre de couverture"/>
    <w:basedOn w:val="Normal"/>
    <w:pPr>
      <w:framePr w:w="7088" w:h="4536" w:hSpace="142" w:wrap="notBeside" w:vAnchor="page" w:hAnchor="page" w:x="2439" w:y="8506"/>
      <w:pBdr>
        <w:bottom w:val="single" w:sz="4" w:space="24" w:color="0079C2"/>
      </w:pBdr>
      <w:spacing w:before="0"/>
      <w:ind w:left="567" w:right="567"/>
      <w:jc w:val="center"/>
    </w:pPr>
    <w:rPr>
      <w:b/>
      <w:smallCaps/>
      <w:color w:val="4D4D4D"/>
      <w:sz w:val="32"/>
    </w:rPr>
  </w:style>
  <w:style w:type="paragraph" w:customStyle="1" w:styleId="Standard">
    <w:name w:val="Standard"/>
    <w:pPr>
      <w:tabs>
        <w:tab w:val="left" w:pos="0"/>
        <w:tab w:val="left" w:pos="707"/>
        <w:tab w:val="left" w:pos="1414"/>
        <w:tab w:val="left" w:pos="2122"/>
        <w:tab w:val="left" w:pos="2830"/>
        <w:tab w:val="left" w:pos="3537"/>
        <w:tab w:val="left" w:pos="4245"/>
        <w:tab w:val="left" w:pos="4952"/>
        <w:tab w:val="left" w:pos="5660"/>
        <w:tab w:val="left" w:pos="6367"/>
        <w:tab w:val="left" w:pos="7075"/>
        <w:tab w:val="left" w:pos="7782"/>
        <w:tab w:val="left" w:pos="8490"/>
        <w:tab w:val="left" w:pos="9197"/>
        <w:tab w:val="left" w:pos="9905"/>
        <w:tab w:val="left" w:pos="10612"/>
        <w:tab w:val="left" w:pos="11320"/>
        <w:tab w:val="left" w:pos="12027"/>
        <w:tab w:val="left" w:pos="12735"/>
        <w:tab w:val="left" w:pos="13442"/>
        <w:tab w:val="left" w:pos="14150"/>
      </w:tabs>
      <w:autoSpaceDE w:val="0"/>
      <w:autoSpaceDN w:val="0"/>
      <w:adjustRightInd w:val="0"/>
      <w:spacing w:before="120"/>
    </w:pPr>
    <w:rPr>
      <w:rFonts w:ascii="Arial" w:hAnsi="Arial" w:cs="Arial"/>
      <w:color w:val="000000"/>
      <w:szCs w:val="48"/>
    </w:rPr>
  </w:style>
  <w:style w:type="paragraph" w:customStyle="1" w:styleId="Sous-titregris">
    <w:name w:val="Sous-titre gris"/>
    <w:basedOn w:val="Normal"/>
    <w:qFormat/>
    <w:pPr>
      <w:spacing w:before="200" w:after="40"/>
    </w:pPr>
    <w:rPr>
      <w:color w:val="333333"/>
      <w:sz w:val="24"/>
    </w:rPr>
  </w:style>
  <w:style w:type="paragraph" w:customStyle="1" w:styleId="Titredocument">
    <w:name w:val="Titre document"/>
    <w:basedOn w:val="Normal"/>
    <w:pPr>
      <w:jc w:val="center"/>
    </w:pPr>
    <w:rPr>
      <w:rFonts w:ascii="Century Gothic" w:hAnsi="Century Gothic"/>
      <w:b/>
      <w:bCs/>
      <w:smallCaps/>
      <w:color w:val="0000CC"/>
      <w:sz w:val="32"/>
    </w:rPr>
  </w:style>
  <w:style w:type="paragraph" w:styleId="TM1">
    <w:name w:val="toc 1"/>
    <w:basedOn w:val="Normal"/>
    <w:next w:val="Normal"/>
    <w:autoRedefine/>
    <w:uiPriority w:val="39"/>
    <w:pPr>
      <w:spacing w:before="240"/>
    </w:pPr>
    <w:rPr>
      <w:b/>
      <w:caps/>
      <w:noProof/>
    </w:rPr>
  </w:style>
  <w:style w:type="paragraph" w:styleId="TM2">
    <w:name w:val="toc 2"/>
    <w:basedOn w:val="Normal"/>
    <w:next w:val="Normal"/>
    <w:autoRedefine/>
    <w:uiPriority w:val="39"/>
    <w:rPr>
      <w:b/>
      <w:noProof/>
    </w:rPr>
  </w:style>
  <w:style w:type="paragraph" w:styleId="TM3">
    <w:name w:val="toc 3"/>
    <w:basedOn w:val="Normal"/>
    <w:next w:val="Normal"/>
    <w:autoRedefine/>
    <w:uiPriority w:val="39"/>
    <w:pPr>
      <w:ind w:left="440"/>
    </w:pPr>
    <w:rPr>
      <w:szCs w:val="24"/>
    </w:rPr>
  </w:style>
  <w:style w:type="paragraph" w:styleId="TM4">
    <w:name w:val="toc 4"/>
    <w:basedOn w:val="Normal"/>
    <w:next w:val="Normal"/>
    <w:autoRedefine/>
    <w:semiHidden/>
    <w:pPr>
      <w:ind w:left="540"/>
    </w:pPr>
    <w:rPr>
      <w:szCs w:val="24"/>
    </w:rPr>
  </w:style>
  <w:style w:type="paragraph" w:styleId="TM5">
    <w:name w:val="toc 5"/>
    <w:basedOn w:val="Normal"/>
    <w:next w:val="Normal"/>
    <w:autoRedefine/>
    <w:semiHidden/>
    <w:pPr>
      <w:spacing w:before="0"/>
      <w:ind w:left="960"/>
      <w:jc w:val="left"/>
    </w:pPr>
    <w:rPr>
      <w:rFonts w:ascii="Times New Roman" w:hAnsi="Times New Roman"/>
      <w:sz w:val="24"/>
      <w:szCs w:val="24"/>
    </w:rPr>
  </w:style>
  <w:style w:type="paragraph" w:styleId="TM6">
    <w:name w:val="toc 6"/>
    <w:basedOn w:val="Normal"/>
    <w:next w:val="Normal"/>
    <w:autoRedefine/>
    <w:semiHidden/>
    <w:pPr>
      <w:spacing w:before="0"/>
      <w:ind w:left="1200"/>
      <w:jc w:val="left"/>
    </w:pPr>
    <w:rPr>
      <w:rFonts w:ascii="Times New Roman" w:hAnsi="Times New Roman"/>
      <w:sz w:val="24"/>
      <w:szCs w:val="24"/>
    </w:rPr>
  </w:style>
  <w:style w:type="paragraph" w:styleId="TM7">
    <w:name w:val="toc 7"/>
    <w:basedOn w:val="Normal"/>
    <w:next w:val="Normal"/>
    <w:autoRedefine/>
    <w:semiHidden/>
    <w:pPr>
      <w:spacing w:before="0"/>
      <w:ind w:left="1440"/>
      <w:jc w:val="left"/>
    </w:pPr>
    <w:rPr>
      <w:rFonts w:ascii="Times New Roman" w:hAnsi="Times New Roman"/>
      <w:sz w:val="24"/>
      <w:szCs w:val="24"/>
    </w:rPr>
  </w:style>
  <w:style w:type="paragraph" w:styleId="TM8">
    <w:name w:val="toc 8"/>
    <w:basedOn w:val="Normal"/>
    <w:next w:val="Normal"/>
    <w:autoRedefine/>
    <w:semiHidden/>
    <w:pPr>
      <w:spacing w:before="0"/>
      <w:ind w:left="1680"/>
      <w:jc w:val="left"/>
    </w:pPr>
    <w:rPr>
      <w:rFonts w:ascii="Times New Roman" w:hAnsi="Times New Roman"/>
      <w:sz w:val="24"/>
      <w:szCs w:val="24"/>
    </w:rPr>
  </w:style>
  <w:style w:type="paragraph" w:styleId="TM9">
    <w:name w:val="toc 9"/>
    <w:basedOn w:val="Normal"/>
    <w:next w:val="Normal"/>
    <w:autoRedefine/>
    <w:semiHidden/>
    <w:pPr>
      <w:spacing w:before="0"/>
      <w:ind w:left="1920"/>
      <w:jc w:val="left"/>
    </w:pPr>
    <w:rPr>
      <w:rFonts w:ascii="Times New Roman" w:hAnsi="Times New Roman"/>
      <w:sz w:val="24"/>
      <w:szCs w:val="24"/>
    </w:rPr>
  </w:style>
  <w:style w:type="paragraph" w:customStyle="1" w:styleId="Retrait0Vert">
    <w:name w:val="Retrait0 Vert"/>
    <w:basedOn w:val="Normal"/>
    <w:pPr>
      <w:shd w:val="clear" w:color="auto" w:fill="7AC043"/>
    </w:pPr>
    <w:rPr>
      <w:b/>
      <w:smallCaps/>
      <w:color w:val="FFFFFF"/>
      <w:sz w:val="22"/>
    </w:rPr>
  </w:style>
  <w:style w:type="paragraph" w:customStyle="1" w:styleId="Retrait0Bleu">
    <w:name w:val="Retrait0 Bleu"/>
    <w:basedOn w:val="Retrait0Vert"/>
    <w:pPr>
      <w:shd w:val="clear" w:color="auto" w:fill="90A7D5"/>
    </w:pPr>
  </w:style>
  <w:style w:type="paragraph" w:customStyle="1" w:styleId="Retrait0Rouge">
    <w:name w:val="Retrait0 Rouge"/>
    <w:basedOn w:val="Retrait0Bleu"/>
    <w:pPr>
      <w:shd w:val="clear" w:color="auto" w:fill="CC0000"/>
    </w:pPr>
  </w:style>
  <w:style w:type="paragraph" w:customStyle="1" w:styleId="Encadre">
    <w:name w:val="Encadre"/>
    <w:basedOn w:val="Normal"/>
    <w:pPr>
      <w:pBdr>
        <w:top w:val="single" w:sz="12" w:space="4" w:color="7AC043"/>
        <w:left w:val="single" w:sz="12" w:space="4" w:color="7AC043"/>
        <w:bottom w:val="single" w:sz="12" w:space="4" w:color="7AC043"/>
        <w:right w:val="single" w:sz="12" w:space="4" w:color="7AC043"/>
      </w:pBdr>
    </w:pPr>
    <w:rPr>
      <w:b/>
      <w:bCs/>
      <w:sz w:val="22"/>
    </w:rPr>
  </w:style>
  <w:style w:type="paragraph" w:styleId="Textedebulles">
    <w:name w:val="Balloon Text"/>
    <w:basedOn w:val="Normal"/>
    <w:link w:val="TextedebullesCar"/>
    <w:uiPriority w:val="99"/>
    <w:semiHidden/>
    <w:unhideWhenUsed/>
    <w:pPr>
      <w:spacing w:before="0"/>
    </w:pPr>
    <w:rPr>
      <w:rFonts w:ascii="Tahoma" w:hAnsi="Tahoma" w:cs="Tahoma"/>
      <w:sz w:val="16"/>
      <w:szCs w:val="16"/>
    </w:rPr>
  </w:style>
  <w:style w:type="character" w:customStyle="1" w:styleId="TextedebullesCar">
    <w:name w:val="Texte de bulles Car"/>
    <w:basedOn w:val="Policepardfaut"/>
    <w:link w:val="Textedebulles"/>
    <w:uiPriority w:val="99"/>
    <w:semiHidden/>
    <w:rPr>
      <w:rFonts w:ascii="Tahoma" w:hAnsi="Tahoma" w:cs="Tahoma"/>
      <w:sz w:val="16"/>
      <w:szCs w:val="16"/>
    </w:rPr>
  </w:style>
  <w:style w:type="table" w:styleId="Grilledutableau">
    <w:name w:val="Table Grid"/>
    <w:basedOn w:val="TableauNormal"/>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traitparagraphe1">
    <w:name w:val="Retrait paragraphe 1"/>
    <w:basedOn w:val="Retrait1"/>
    <w:pPr>
      <w:tabs>
        <w:tab w:val="clear" w:pos="680"/>
        <w:tab w:val="clear" w:pos="927"/>
        <w:tab w:val="num" w:pos="360"/>
        <w:tab w:val="left" w:pos="924"/>
      </w:tabs>
      <w:spacing w:before="80"/>
      <w:ind w:left="1134" w:firstLine="0"/>
    </w:pPr>
    <w:rPr>
      <w:rFonts w:ascii="Arial" w:hAnsi="Arial"/>
      <w:b w:val="0"/>
    </w:rPr>
  </w:style>
  <w:style w:type="paragraph" w:customStyle="1" w:styleId="WW-Standard1">
    <w:name w:val="WW-Standard1"/>
    <w:pPr>
      <w:suppressAutoHyphens/>
    </w:pPr>
    <w:rPr>
      <w:sz w:val="24"/>
      <w:lang w:eastAsia="ar-SA"/>
    </w:rPr>
  </w:style>
  <w:style w:type="paragraph" w:styleId="Tabledesillustrations">
    <w:name w:val="table of figures"/>
    <w:basedOn w:val="Normal"/>
    <w:next w:val="Normal"/>
    <w:uiPriority w:val="99"/>
    <w:unhideWhenUsed/>
  </w:style>
  <w:style w:type="paragraph" w:styleId="Paragraphedeliste">
    <w:name w:val="List Paragraph"/>
    <w:basedOn w:val="Normal"/>
    <w:link w:val="ParagraphedelisteCar"/>
    <w:uiPriority w:val="34"/>
    <w:qFormat/>
    <w:pPr>
      <w:ind w:left="720"/>
      <w:contextualSpacing/>
    </w:pPr>
  </w:style>
  <w:style w:type="character" w:customStyle="1" w:styleId="arial11">
    <w:name w:val="arial11"/>
    <w:basedOn w:val="Policepardfaut"/>
  </w:style>
  <w:style w:type="character" w:customStyle="1" w:styleId="arial12">
    <w:name w:val="arial12"/>
    <w:basedOn w:val="Policepardfaut"/>
  </w:style>
  <w:style w:type="character" w:styleId="lev">
    <w:name w:val="Strong"/>
    <w:uiPriority w:val="22"/>
    <w:qFormat/>
    <w:rPr>
      <w:b/>
      <w:bCs/>
    </w:rPr>
  </w:style>
  <w:style w:type="paragraph" w:styleId="Notedebasdepage">
    <w:name w:val="footnote text"/>
    <w:basedOn w:val="Normal"/>
    <w:link w:val="NotedebasdepageCar"/>
    <w:uiPriority w:val="99"/>
    <w:semiHidden/>
  </w:style>
  <w:style w:type="character" w:customStyle="1" w:styleId="NotedebasdepageCar">
    <w:name w:val="Note de bas de page Car"/>
    <w:basedOn w:val="Policepardfaut"/>
    <w:link w:val="Notedebasdepage"/>
    <w:uiPriority w:val="99"/>
    <w:semiHidden/>
    <w:rPr>
      <w:rFonts w:ascii="Arial Narrow" w:hAnsi="Arial Narrow"/>
    </w:rPr>
  </w:style>
  <w:style w:type="paragraph" w:customStyle="1" w:styleId="Important">
    <w:name w:val="Important"/>
    <w:basedOn w:val="Normal"/>
    <w:link w:val="ImportantCar"/>
    <w:qFormat/>
    <w:rPr>
      <w:rFonts w:ascii="Arial" w:hAnsi="Arial"/>
      <w:b/>
      <w:color w:val="990033"/>
    </w:rPr>
  </w:style>
  <w:style w:type="character" w:customStyle="1" w:styleId="ImportantCar">
    <w:name w:val="Important Car"/>
    <w:link w:val="Important"/>
    <w:rPr>
      <w:rFonts w:ascii="Arial" w:hAnsi="Arial"/>
      <w:b/>
      <w:color w:val="990033"/>
    </w:rPr>
  </w:style>
  <w:style w:type="paragraph" w:customStyle="1" w:styleId="Remarque">
    <w:name w:val="Remarque"/>
    <w:basedOn w:val="Normal"/>
    <w:link w:val="RemarqueCar"/>
    <w:qFormat/>
    <w:rPr>
      <w:rFonts w:ascii="Arial" w:hAnsi="Arial"/>
      <w:i/>
      <w:color w:val="990033"/>
    </w:rPr>
  </w:style>
  <w:style w:type="character" w:customStyle="1" w:styleId="RemarqueCar">
    <w:name w:val="Remarque Car"/>
    <w:link w:val="Remarque"/>
    <w:rPr>
      <w:rFonts w:ascii="Arial" w:hAnsi="Arial"/>
      <w:i/>
      <w:color w:val="990033"/>
    </w:rPr>
  </w:style>
  <w:style w:type="paragraph" w:customStyle="1" w:styleId="Retrait00">
    <w:name w:val="Retrait0"/>
    <w:basedOn w:val="Normal"/>
    <w:link w:val="Retrait0Car"/>
    <w:pPr>
      <w:shd w:val="clear" w:color="auto" w:fill="7AC043"/>
      <w:tabs>
        <w:tab w:val="right" w:pos="10206"/>
      </w:tabs>
      <w:spacing w:before="240"/>
      <w:jc w:val="left"/>
    </w:pPr>
    <w:rPr>
      <w:rFonts w:ascii="Arial" w:hAnsi="Arial"/>
      <w:b/>
      <w:smallCaps/>
      <w:color w:val="FFFFFF"/>
      <w:sz w:val="22"/>
    </w:rPr>
  </w:style>
  <w:style w:type="character" w:customStyle="1" w:styleId="Retrait0Car">
    <w:name w:val="Retrait0 Car"/>
    <w:link w:val="Retrait00"/>
    <w:locked/>
    <w:rPr>
      <w:rFonts w:ascii="Arial" w:hAnsi="Arial"/>
      <w:b/>
      <w:smallCaps/>
      <w:color w:val="FFFFFF"/>
      <w:sz w:val="22"/>
      <w:shd w:val="clear" w:color="auto" w:fill="7AC043"/>
    </w:rPr>
  </w:style>
  <w:style w:type="paragraph" w:customStyle="1" w:styleId="Retrait0">
    <w:name w:val="Retrait"/>
    <w:basedOn w:val="Normal"/>
    <w:pPr>
      <w:numPr>
        <w:numId w:val="6"/>
      </w:numPr>
      <w:spacing w:before="240"/>
      <w:jc w:val="left"/>
    </w:pPr>
    <w:rPr>
      <w:rFonts w:ascii="Arial" w:hAnsi="Arial"/>
      <w:b/>
      <w:u w:val="single"/>
    </w:rPr>
  </w:style>
  <w:style w:type="paragraph" w:customStyle="1" w:styleId="Retraitparagraphe2">
    <w:name w:val="Retrait paragraphe 2"/>
    <w:basedOn w:val="Retrait20"/>
    <w:pPr>
      <w:tabs>
        <w:tab w:val="clear" w:pos="964"/>
      </w:tabs>
      <w:spacing w:before="40"/>
      <w:ind w:firstLine="0"/>
    </w:pPr>
    <w:rPr>
      <w:rFonts w:ascii="Arial" w:hAnsi="Arial" w:cs="Times New Roman"/>
    </w:rPr>
  </w:style>
  <w:style w:type="paragraph" w:customStyle="1" w:styleId="Style1">
    <w:name w:val="Style1"/>
    <w:basedOn w:val="Normal"/>
    <w:pPr>
      <w:numPr>
        <w:numId w:val="7"/>
      </w:numPr>
    </w:pPr>
    <w:rPr>
      <w:rFonts w:ascii="Arial" w:hAnsi="Arial"/>
    </w:rPr>
  </w:style>
  <w:style w:type="paragraph" w:customStyle="1" w:styleId="CM57">
    <w:name w:val="CM57"/>
    <w:basedOn w:val="Normal"/>
    <w:next w:val="Normal"/>
    <w:pPr>
      <w:widowControl w:val="0"/>
      <w:autoSpaceDE w:val="0"/>
      <w:autoSpaceDN w:val="0"/>
      <w:adjustRightInd w:val="0"/>
      <w:spacing w:before="0"/>
    </w:pPr>
    <w:rPr>
      <w:rFonts w:ascii="Arial" w:eastAsia="MS Mincho" w:hAnsi="Arial"/>
      <w:noProof/>
      <w:sz w:val="22"/>
      <w:szCs w:val="24"/>
    </w:rPr>
  </w:style>
  <w:style w:type="paragraph" w:customStyle="1" w:styleId="photo">
    <w:name w:val="photo"/>
    <w:basedOn w:val="Normal"/>
    <w:link w:val="photoCar"/>
    <w:qFormat/>
    <w:pPr>
      <w:spacing w:before="0" w:after="60"/>
      <w:ind w:right="28"/>
    </w:pPr>
    <w:rPr>
      <w:rFonts w:ascii="Corbel" w:hAnsi="Corbel"/>
      <w:noProof/>
      <w:lang w:eastAsia="en-US"/>
    </w:rPr>
  </w:style>
  <w:style w:type="character" w:customStyle="1" w:styleId="photoCar">
    <w:name w:val="photo Car"/>
    <w:link w:val="photo"/>
    <w:rPr>
      <w:rFonts w:ascii="Corbel" w:hAnsi="Corbel"/>
      <w:noProof/>
      <w:lang w:eastAsia="en-US"/>
    </w:rPr>
  </w:style>
  <w:style w:type="paragraph" w:customStyle="1" w:styleId="DveloppementEncart">
    <w:name w:val="Développement Encart"/>
    <w:basedOn w:val="Normal"/>
    <w:link w:val="DveloppementEncartCar"/>
    <w:qFormat/>
    <w:pPr>
      <w:spacing w:before="60" w:after="60"/>
      <w:ind w:right="28"/>
    </w:pPr>
    <w:rPr>
      <w:rFonts w:ascii="Corbel" w:hAnsi="Corbel"/>
      <w:lang w:eastAsia="en-US"/>
    </w:rPr>
  </w:style>
  <w:style w:type="character" w:customStyle="1" w:styleId="DveloppementEncartCar">
    <w:name w:val="Développement Encart Car"/>
    <w:link w:val="DveloppementEncart"/>
    <w:rPr>
      <w:rFonts w:ascii="Corbel" w:hAnsi="Corbel"/>
      <w:lang w:eastAsia="en-US"/>
    </w:rPr>
  </w:style>
  <w:style w:type="paragraph" w:customStyle="1" w:styleId="ch-par2">
    <w:name w:val="ch-par2"/>
    <w:basedOn w:val="Normal"/>
    <w:pPr>
      <w:spacing w:before="100" w:beforeAutospacing="1" w:after="100" w:afterAutospacing="1"/>
      <w:jc w:val="left"/>
    </w:pPr>
    <w:rPr>
      <w:rFonts w:ascii="Times New Roman" w:hAnsi="Times New Roman"/>
      <w:sz w:val="24"/>
      <w:szCs w:val="24"/>
    </w:rPr>
  </w:style>
  <w:style w:type="paragraph" w:customStyle="1" w:styleId="TITREILLUSTRATION">
    <w:name w:val="TITRE ILLUSTRATION"/>
    <w:basedOn w:val="Normal"/>
    <w:link w:val="TITREILLUSTRATIONCar"/>
    <w:qFormat/>
    <w:pPr>
      <w:tabs>
        <w:tab w:val="right" w:pos="9072"/>
      </w:tabs>
      <w:ind w:right="-2"/>
    </w:pPr>
    <w:rPr>
      <w:rFonts w:ascii="Corbel" w:hAnsi="Corbel"/>
      <w:color w:val="5AB299"/>
      <w:sz w:val="18"/>
      <w:lang w:eastAsia="en-US" w:bidi="en-US"/>
    </w:rPr>
  </w:style>
  <w:style w:type="character" w:customStyle="1" w:styleId="TITREILLUSTRATIONCar">
    <w:name w:val="TITRE ILLUSTRATION Car"/>
    <w:basedOn w:val="Policepardfaut"/>
    <w:link w:val="TITREILLUSTRATION"/>
    <w:rPr>
      <w:rFonts w:ascii="Corbel" w:hAnsi="Corbel"/>
      <w:color w:val="5AB299"/>
      <w:sz w:val="18"/>
      <w:lang w:eastAsia="en-US" w:bidi="en-US"/>
    </w:rPr>
  </w:style>
  <w:style w:type="paragraph" w:customStyle="1" w:styleId="western">
    <w:name w:val="western"/>
    <w:basedOn w:val="Normal"/>
    <w:pPr>
      <w:suppressAutoHyphens/>
      <w:spacing w:before="280"/>
    </w:pPr>
    <w:rPr>
      <w:rFonts w:ascii="Arial" w:hAnsi="Arial" w:cs="Arial"/>
      <w:color w:val="000000"/>
      <w:sz w:val="24"/>
      <w:szCs w:val="24"/>
      <w:lang w:eastAsia="zh-CN"/>
    </w:rPr>
  </w:style>
  <w:style w:type="paragraph" w:customStyle="1" w:styleId="Retraitencart">
    <w:name w:val="Retrait encart"/>
    <w:basedOn w:val="DveloppementEncart"/>
    <w:link w:val="RetraitencartCar"/>
    <w:qFormat/>
    <w:pPr>
      <w:contextualSpacing/>
    </w:pPr>
  </w:style>
  <w:style w:type="character" w:customStyle="1" w:styleId="RetraitencartCar">
    <w:name w:val="Retrait encart Car"/>
    <w:basedOn w:val="DveloppementEncartCar"/>
    <w:link w:val="Retraitencart"/>
    <w:rPr>
      <w:rFonts w:ascii="Corbel" w:hAnsi="Corbel"/>
      <w:lang w:eastAsia="en-US"/>
    </w:rPr>
  </w:style>
  <w:style w:type="paragraph" w:customStyle="1" w:styleId="Source">
    <w:name w:val="Source"/>
    <w:basedOn w:val="Normal"/>
    <w:qFormat/>
    <w:pPr>
      <w:tabs>
        <w:tab w:val="center" w:pos="4536"/>
        <w:tab w:val="left" w:pos="4820"/>
        <w:tab w:val="left" w:pos="6036"/>
      </w:tabs>
      <w:spacing w:before="0" w:after="120"/>
    </w:pPr>
    <w:rPr>
      <w:rFonts w:ascii="Corbel" w:hAnsi="Corbel"/>
      <w:i/>
      <w:sz w:val="14"/>
      <w:lang w:eastAsia="en-US"/>
    </w:rPr>
  </w:style>
  <w:style w:type="paragraph" w:customStyle="1" w:styleId="retrait">
    <w:name w:val="retrait"/>
    <w:basedOn w:val="Retraitencart"/>
    <w:link w:val="retraitCar"/>
    <w:qFormat/>
    <w:pPr>
      <w:numPr>
        <w:numId w:val="8"/>
      </w:numPr>
      <w:spacing w:after="0"/>
      <w:contextualSpacing w:val="0"/>
    </w:pPr>
  </w:style>
  <w:style w:type="character" w:customStyle="1" w:styleId="retraitCar">
    <w:name w:val="retrait Car"/>
    <w:basedOn w:val="RetraitencartCar"/>
    <w:link w:val="retrait"/>
    <w:rPr>
      <w:rFonts w:ascii="Corbel" w:hAnsi="Corbel"/>
      <w:lang w:eastAsia="en-US"/>
    </w:rPr>
  </w:style>
  <w:style w:type="paragraph" w:customStyle="1" w:styleId="04-titre5">
    <w:name w:val="04-titre 5"/>
    <w:basedOn w:val="Retrait0"/>
    <w:link w:val="04-titre5Car"/>
    <w:qFormat/>
    <w:pPr>
      <w:numPr>
        <w:numId w:val="9"/>
      </w:numPr>
      <w:tabs>
        <w:tab w:val="center" w:pos="4536"/>
        <w:tab w:val="left" w:pos="4820"/>
        <w:tab w:val="right" w:pos="9072"/>
      </w:tabs>
      <w:spacing w:after="120"/>
      <w:jc w:val="both"/>
    </w:pPr>
    <w:rPr>
      <w:rFonts w:ascii="Century Gothic" w:hAnsi="Century Gothic"/>
      <w:b w:val="0"/>
      <w:color w:val="5AB299"/>
      <w:u w:val="none"/>
      <w:lang w:eastAsia="en-US"/>
    </w:rPr>
  </w:style>
  <w:style w:type="character" w:customStyle="1" w:styleId="04-titre5Car">
    <w:name w:val="04-titre 5 Car"/>
    <w:link w:val="04-titre5"/>
    <w:rPr>
      <w:rFonts w:ascii="Century Gothic" w:hAnsi="Century Gothic"/>
      <w:color w:val="5AB299"/>
      <w:lang w:eastAsia="en-US"/>
    </w:rPr>
  </w:style>
  <w:style w:type="paragraph" w:customStyle="1" w:styleId="02-Titre3">
    <w:name w:val="02-Titre 3"/>
    <w:basedOn w:val="Titre2"/>
    <w:qFormat/>
    <w:pPr>
      <w:numPr>
        <w:ilvl w:val="0"/>
        <w:numId w:val="0"/>
      </w:numPr>
      <w:tabs>
        <w:tab w:val="center" w:pos="4536"/>
        <w:tab w:val="left" w:pos="4820"/>
        <w:tab w:val="right" w:pos="9072"/>
      </w:tabs>
      <w:spacing w:after="120"/>
      <w:outlineLvl w:val="9"/>
    </w:pPr>
    <w:rPr>
      <w:rFonts w:ascii="Century Gothic" w:hAnsi="Century Gothic"/>
      <w:color w:val="5AB299"/>
      <w:sz w:val="24"/>
      <w:szCs w:val="24"/>
      <w:lang w:eastAsia="en-US"/>
    </w:rPr>
  </w:style>
  <w:style w:type="paragraph" w:customStyle="1" w:styleId="retrait2">
    <w:name w:val="retrait2"/>
    <w:basedOn w:val="Retraitencart"/>
    <w:link w:val="retrait2Car0"/>
    <w:qFormat/>
    <w:pPr>
      <w:numPr>
        <w:ilvl w:val="1"/>
        <w:numId w:val="10"/>
      </w:numPr>
    </w:pPr>
  </w:style>
  <w:style w:type="character" w:customStyle="1" w:styleId="retrait2Car0">
    <w:name w:val="retrait2 Car"/>
    <w:basedOn w:val="RetraitencartCar"/>
    <w:link w:val="retrait2"/>
    <w:rPr>
      <w:rFonts w:ascii="Corbel" w:hAnsi="Corbel"/>
      <w:lang w:eastAsia="en-US"/>
    </w:rPr>
  </w:style>
  <w:style w:type="paragraph" w:styleId="PrformatHTML">
    <w:name w:val="HTML Preformatted"/>
    <w:basedOn w:val="Normal"/>
    <w:link w:val="PrformatHTMLCar"/>
    <w:uiPriority w:val="99"/>
    <w:semiHidden/>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jc w:val="left"/>
    </w:pPr>
    <w:rPr>
      <w:rFonts w:ascii="Courier New" w:hAnsi="Courier New" w:cs="Courier New"/>
    </w:rPr>
  </w:style>
  <w:style w:type="character" w:customStyle="1" w:styleId="PrformatHTMLCar">
    <w:name w:val="Préformaté HTML Car"/>
    <w:basedOn w:val="Policepardfaut"/>
    <w:link w:val="PrformatHTML"/>
    <w:uiPriority w:val="99"/>
    <w:semiHidden/>
    <w:rPr>
      <w:rFonts w:ascii="Courier New" w:hAnsi="Courier New" w:cs="Courier New"/>
    </w:rPr>
  </w:style>
  <w:style w:type="paragraph" w:customStyle="1" w:styleId="spip">
    <w:name w:val="spip"/>
    <w:basedOn w:val="Normal"/>
    <w:pPr>
      <w:spacing w:before="100" w:beforeAutospacing="1" w:after="100" w:afterAutospacing="1"/>
      <w:jc w:val="left"/>
    </w:pPr>
    <w:rPr>
      <w:rFonts w:ascii="Times New Roman" w:hAnsi="Times New Roman"/>
      <w:sz w:val="24"/>
      <w:szCs w:val="24"/>
    </w:rPr>
  </w:style>
  <w:style w:type="paragraph" w:styleId="Objetducommentaire">
    <w:name w:val="annotation subject"/>
    <w:basedOn w:val="Commentaire"/>
    <w:next w:val="Commentaire"/>
    <w:link w:val="ObjetducommentaireCar"/>
    <w:uiPriority w:val="99"/>
    <w:semiHidden/>
    <w:unhideWhenUsed/>
    <w:rPr>
      <w:b/>
      <w:bCs/>
    </w:rPr>
  </w:style>
  <w:style w:type="character" w:customStyle="1" w:styleId="ObjetducommentaireCar">
    <w:name w:val="Objet du commentaire Car"/>
    <w:basedOn w:val="CommentaireCar"/>
    <w:link w:val="Objetducommentaire"/>
    <w:uiPriority w:val="99"/>
    <w:semiHidden/>
    <w:rPr>
      <w:rFonts w:ascii="Arial Narrow" w:hAnsi="Arial Narrow"/>
      <w:b/>
      <w:bCs/>
    </w:rPr>
  </w:style>
  <w:style w:type="paragraph" w:customStyle="1" w:styleId="Default">
    <w:name w:val="Default"/>
    <w:pPr>
      <w:autoSpaceDE w:val="0"/>
      <w:autoSpaceDN w:val="0"/>
      <w:adjustRightInd w:val="0"/>
    </w:pPr>
    <w:rPr>
      <w:rFonts w:ascii="Candara" w:hAnsi="Candara" w:cs="Candara"/>
      <w:color w:val="000000"/>
      <w:sz w:val="24"/>
      <w:szCs w:val="24"/>
    </w:rPr>
  </w:style>
  <w:style w:type="paragraph" w:customStyle="1" w:styleId="Texte">
    <w:name w:val="Texte"/>
    <w:basedOn w:val="Default"/>
    <w:next w:val="Default"/>
    <w:uiPriority w:val="99"/>
    <w:rPr>
      <w:rFonts w:ascii="Arial" w:hAnsi="Arial" w:cs="Arial"/>
      <w:color w:val="auto"/>
    </w:rPr>
  </w:style>
  <w:style w:type="paragraph" w:customStyle="1" w:styleId="EnumPoint">
    <w:name w:val="Enum_Point"/>
    <w:basedOn w:val="Normal"/>
    <w:pPr>
      <w:keepNext/>
      <w:numPr>
        <w:numId w:val="12"/>
      </w:numPr>
      <w:shd w:val="clear" w:color="auto" w:fill="FFFFFF"/>
      <w:tabs>
        <w:tab w:val="left" w:pos="1870"/>
        <w:tab w:val="left" w:pos="8350"/>
        <w:tab w:val="left" w:pos="9175"/>
        <w:tab w:val="left" w:pos="9790"/>
      </w:tabs>
      <w:spacing w:before="60" w:after="120"/>
      <w:ind w:left="357" w:hanging="357"/>
    </w:pPr>
    <w:rPr>
      <w:rFonts w:ascii="Arial" w:hAnsi="Arial" w:cs="Arial"/>
      <w:b/>
      <w:bCs/>
    </w:rPr>
  </w:style>
  <w:style w:type="paragraph" w:customStyle="1" w:styleId="Emphaserouge">
    <w:name w:val="Emphase rouge"/>
    <w:basedOn w:val="Normal"/>
    <w:qFormat/>
    <w:pPr>
      <w:spacing w:before="200" w:after="40"/>
    </w:pPr>
    <w:rPr>
      <w:color w:val="DE333F"/>
      <w:sz w:val="24"/>
    </w:rPr>
  </w:style>
  <w:style w:type="character" w:customStyle="1" w:styleId="A15">
    <w:name w:val="A15"/>
    <w:uiPriority w:val="99"/>
    <w:rPr>
      <w:color w:val="000000"/>
      <w:sz w:val="11"/>
      <w:szCs w:val="11"/>
    </w:rPr>
  </w:style>
  <w:style w:type="character" w:customStyle="1" w:styleId="A16">
    <w:name w:val="A16"/>
    <w:uiPriority w:val="99"/>
    <w:rPr>
      <w:b/>
      <w:bCs/>
      <w:color w:val="000000"/>
      <w:sz w:val="20"/>
      <w:szCs w:val="20"/>
      <w:u w:val="single"/>
    </w:rPr>
  </w:style>
  <w:style w:type="paragraph" w:customStyle="1" w:styleId="Pa0">
    <w:name w:val="Pa0"/>
    <w:basedOn w:val="Default"/>
    <w:next w:val="Default"/>
    <w:uiPriority w:val="99"/>
    <w:pPr>
      <w:spacing w:line="201" w:lineRule="atLeast"/>
    </w:pPr>
    <w:rPr>
      <w:rFonts w:ascii="Arial" w:hAnsi="Arial" w:cs="Arial"/>
      <w:color w:val="auto"/>
    </w:rPr>
  </w:style>
  <w:style w:type="paragraph" w:customStyle="1" w:styleId="Pa34">
    <w:name w:val="Pa34"/>
    <w:basedOn w:val="Default"/>
    <w:next w:val="Default"/>
    <w:uiPriority w:val="99"/>
    <w:pPr>
      <w:spacing w:line="201" w:lineRule="atLeast"/>
    </w:pPr>
    <w:rPr>
      <w:rFonts w:ascii="Arial" w:hAnsi="Arial" w:cs="Arial"/>
      <w:color w:val="auto"/>
    </w:rPr>
  </w:style>
  <w:style w:type="paragraph" w:customStyle="1" w:styleId="Pa35">
    <w:name w:val="Pa35"/>
    <w:basedOn w:val="Default"/>
    <w:next w:val="Default"/>
    <w:uiPriority w:val="99"/>
    <w:pPr>
      <w:spacing w:line="201" w:lineRule="atLeast"/>
    </w:pPr>
    <w:rPr>
      <w:rFonts w:ascii="Arial" w:hAnsi="Arial" w:cs="Arial"/>
      <w:color w:val="auto"/>
    </w:rPr>
  </w:style>
  <w:style w:type="character" w:customStyle="1" w:styleId="A8">
    <w:name w:val="A8"/>
    <w:uiPriority w:val="99"/>
    <w:rPr>
      <w:color w:val="000000"/>
    </w:rPr>
  </w:style>
  <w:style w:type="character" w:customStyle="1" w:styleId="A14">
    <w:name w:val="A14"/>
    <w:uiPriority w:val="99"/>
    <w:rPr>
      <w:color w:val="000000"/>
    </w:rPr>
  </w:style>
  <w:style w:type="paragraph" w:customStyle="1" w:styleId="Standard1">
    <w:name w:val="Standard_1"/>
    <w:uiPriority w:val="99"/>
    <w:pPr>
      <w:autoSpaceDE w:val="0"/>
      <w:autoSpaceDN w:val="0"/>
      <w:adjustRightInd w:val="0"/>
      <w:spacing w:line="200" w:lineRule="atLeast"/>
    </w:pPr>
    <w:rPr>
      <w:rFonts w:ascii="Mangal" w:eastAsia="Microsoft YaHei" w:hAnsi="Mangal" w:cs="Mangal"/>
      <w:kern w:val="1"/>
      <w:sz w:val="36"/>
      <w:szCs w:val="36"/>
    </w:rPr>
  </w:style>
  <w:style w:type="paragraph" w:customStyle="1" w:styleId="Standard12">
    <w:name w:val="Standard_1_2"/>
    <w:uiPriority w:val="99"/>
    <w:pPr>
      <w:autoSpaceDE w:val="0"/>
      <w:autoSpaceDN w:val="0"/>
      <w:adjustRightInd w:val="0"/>
      <w:spacing w:line="200" w:lineRule="atLeast"/>
    </w:pPr>
    <w:rPr>
      <w:rFonts w:ascii="Mangal" w:eastAsia="Microsoft YaHei" w:hAnsi="Mangal" w:cs="Mangal"/>
      <w:kern w:val="1"/>
      <w:sz w:val="36"/>
      <w:szCs w:val="36"/>
    </w:rPr>
  </w:style>
  <w:style w:type="paragraph" w:customStyle="1" w:styleId="Pa28">
    <w:name w:val="Pa28"/>
    <w:basedOn w:val="Default"/>
    <w:next w:val="Default"/>
    <w:uiPriority w:val="99"/>
    <w:pPr>
      <w:spacing w:line="321" w:lineRule="atLeast"/>
    </w:pPr>
    <w:rPr>
      <w:rFonts w:ascii="Calibri" w:hAnsi="Calibri" w:cs="Calibri"/>
      <w:color w:val="auto"/>
    </w:rPr>
  </w:style>
  <w:style w:type="character" w:customStyle="1" w:styleId="A12">
    <w:name w:val="A12"/>
    <w:uiPriority w:val="99"/>
    <w:rPr>
      <w:color w:val="000000"/>
      <w:sz w:val="25"/>
      <w:szCs w:val="25"/>
    </w:rPr>
  </w:style>
  <w:style w:type="paragraph" w:customStyle="1" w:styleId="Pa31">
    <w:name w:val="Pa31"/>
    <w:basedOn w:val="Default"/>
    <w:next w:val="Default"/>
    <w:uiPriority w:val="99"/>
    <w:pPr>
      <w:spacing w:line="321" w:lineRule="atLeast"/>
    </w:pPr>
    <w:rPr>
      <w:rFonts w:ascii="Calibri" w:hAnsi="Calibri" w:cs="Calibri"/>
      <w:color w:val="auto"/>
    </w:rPr>
  </w:style>
  <w:style w:type="paragraph" w:customStyle="1" w:styleId="Pa32">
    <w:name w:val="Pa32"/>
    <w:basedOn w:val="Default"/>
    <w:next w:val="Default"/>
    <w:uiPriority w:val="99"/>
    <w:pPr>
      <w:spacing w:line="321" w:lineRule="atLeast"/>
    </w:pPr>
    <w:rPr>
      <w:rFonts w:ascii="Calibri" w:hAnsi="Calibri" w:cs="Calibri"/>
      <w:color w:val="auto"/>
    </w:rPr>
  </w:style>
  <w:style w:type="paragraph" w:customStyle="1" w:styleId="Para1">
    <w:name w:val="Para1"/>
    <w:basedOn w:val="Normal"/>
    <w:pPr>
      <w:tabs>
        <w:tab w:val="left" w:pos="709"/>
      </w:tabs>
      <w:spacing w:before="60" w:after="60" w:line="300" w:lineRule="atLeast"/>
    </w:pPr>
    <w:rPr>
      <w:rFonts w:ascii="Arial" w:hAnsi="Arial" w:cs="Arial"/>
      <w:sz w:val="24"/>
      <w:szCs w:val="24"/>
    </w:rPr>
  </w:style>
  <w:style w:type="paragraph" w:customStyle="1" w:styleId="D8518EA2FBAF40A8B02F7AE3ACA65F01">
    <w:name w:val="D8518EA2FBAF40A8B02F7AE3ACA65F01"/>
    <w:pPr>
      <w:spacing w:after="200" w:line="276" w:lineRule="auto"/>
    </w:pPr>
    <w:rPr>
      <w:rFonts w:asciiTheme="minorHAnsi" w:eastAsiaTheme="minorEastAsia" w:hAnsiTheme="minorHAnsi" w:cstheme="minorBidi"/>
      <w:sz w:val="22"/>
      <w:szCs w:val="22"/>
      <w:lang w:val="en-US" w:eastAsia="en-US"/>
    </w:rPr>
  </w:style>
  <w:style w:type="paragraph" w:styleId="Sansinterligne">
    <w:name w:val="No Spacing"/>
    <w:link w:val="SansinterligneCar"/>
    <w:uiPriority w:val="1"/>
    <w:qFormat/>
    <w:rPr>
      <w:rFonts w:asciiTheme="minorHAnsi" w:eastAsiaTheme="minorEastAsia" w:hAnsiTheme="minorHAnsi" w:cstheme="minorBidi"/>
      <w:sz w:val="22"/>
      <w:szCs w:val="22"/>
      <w:lang w:eastAsia="en-US"/>
    </w:rPr>
  </w:style>
  <w:style w:type="character" w:customStyle="1" w:styleId="SansinterligneCar">
    <w:name w:val="Sans interligne Car"/>
    <w:basedOn w:val="Policepardfaut"/>
    <w:link w:val="Sansinterligne"/>
    <w:uiPriority w:val="1"/>
    <w:rPr>
      <w:rFonts w:asciiTheme="minorHAnsi" w:eastAsiaTheme="minorEastAsia" w:hAnsiTheme="minorHAnsi" w:cstheme="minorBidi"/>
      <w:sz w:val="22"/>
      <w:szCs w:val="22"/>
      <w:lang w:eastAsia="en-US"/>
    </w:rPr>
  </w:style>
  <w:style w:type="character" w:customStyle="1" w:styleId="ExplorateurdedocumentsCar">
    <w:name w:val="Explorateur de documents Car"/>
    <w:basedOn w:val="Policepardfaut"/>
    <w:link w:val="Explorateurdedocuments"/>
    <w:uiPriority w:val="99"/>
    <w:semiHidden/>
    <w:rPr>
      <w:rFonts w:ascii="Tahoma" w:hAnsi="Tahoma" w:cs="Tahoma"/>
      <w:sz w:val="16"/>
      <w:szCs w:val="16"/>
    </w:rPr>
  </w:style>
  <w:style w:type="paragraph" w:styleId="Explorateurdedocuments">
    <w:name w:val="Document Map"/>
    <w:basedOn w:val="Normal"/>
    <w:link w:val="ExplorateurdedocumentsCar"/>
    <w:uiPriority w:val="99"/>
    <w:semiHidden/>
    <w:unhideWhenUsed/>
    <w:pPr>
      <w:spacing w:before="0"/>
    </w:pPr>
    <w:rPr>
      <w:rFonts w:ascii="Tahoma" w:hAnsi="Tahoma" w:cs="Tahoma"/>
      <w:sz w:val="16"/>
      <w:szCs w:val="16"/>
    </w:rPr>
  </w:style>
  <w:style w:type="paragraph" w:customStyle="1" w:styleId="Emphasebleu">
    <w:name w:val="Emphase bleu"/>
    <w:basedOn w:val="Sous-titregris"/>
    <w:qFormat/>
    <w:rPr>
      <w:color w:val="0070C0"/>
    </w:rPr>
  </w:style>
  <w:style w:type="character" w:customStyle="1" w:styleId="CorpsdetexteCar">
    <w:name w:val="Corps de texte Car"/>
    <w:basedOn w:val="Policepardfaut"/>
    <w:link w:val="Corpsdetexte"/>
    <w:uiPriority w:val="99"/>
    <w:semiHidden/>
    <w:rPr>
      <w:rFonts w:ascii="Arial Narrow" w:hAnsi="Arial Narrow"/>
    </w:rPr>
  </w:style>
  <w:style w:type="character" w:customStyle="1" w:styleId="ParagraphedelisteCar">
    <w:name w:val="Paragraphe de liste Car"/>
    <w:link w:val="Paragraphedeliste"/>
    <w:uiPriority w:val="34"/>
    <w:locked/>
    <w:rPr>
      <w:rFonts w:ascii="Arial Narrow" w:hAnsi="Arial Narro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2680541">
      <w:bodyDiv w:val="1"/>
      <w:marLeft w:val="0"/>
      <w:marRight w:val="0"/>
      <w:marTop w:val="0"/>
      <w:marBottom w:val="0"/>
      <w:divBdr>
        <w:top w:val="none" w:sz="0" w:space="0" w:color="auto"/>
        <w:left w:val="none" w:sz="0" w:space="0" w:color="auto"/>
        <w:bottom w:val="none" w:sz="0" w:space="0" w:color="auto"/>
        <w:right w:val="none" w:sz="0" w:space="0" w:color="auto"/>
      </w:divBdr>
    </w:div>
    <w:div w:id="71782296">
      <w:bodyDiv w:val="1"/>
      <w:marLeft w:val="0"/>
      <w:marRight w:val="0"/>
      <w:marTop w:val="0"/>
      <w:marBottom w:val="0"/>
      <w:divBdr>
        <w:top w:val="none" w:sz="0" w:space="0" w:color="auto"/>
        <w:left w:val="none" w:sz="0" w:space="0" w:color="auto"/>
        <w:bottom w:val="none" w:sz="0" w:space="0" w:color="auto"/>
        <w:right w:val="none" w:sz="0" w:space="0" w:color="auto"/>
      </w:divBdr>
    </w:div>
    <w:div w:id="97724394">
      <w:bodyDiv w:val="1"/>
      <w:marLeft w:val="0"/>
      <w:marRight w:val="0"/>
      <w:marTop w:val="0"/>
      <w:marBottom w:val="0"/>
      <w:divBdr>
        <w:top w:val="none" w:sz="0" w:space="0" w:color="auto"/>
        <w:left w:val="none" w:sz="0" w:space="0" w:color="auto"/>
        <w:bottom w:val="none" w:sz="0" w:space="0" w:color="auto"/>
        <w:right w:val="none" w:sz="0" w:space="0" w:color="auto"/>
      </w:divBdr>
    </w:div>
    <w:div w:id="103889787">
      <w:bodyDiv w:val="1"/>
      <w:marLeft w:val="0"/>
      <w:marRight w:val="0"/>
      <w:marTop w:val="0"/>
      <w:marBottom w:val="0"/>
      <w:divBdr>
        <w:top w:val="none" w:sz="0" w:space="0" w:color="auto"/>
        <w:left w:val="none" w:sz="0" w:space="0" w:color="auto"/>
        <w:bottom w:val="none" w:sz="0" w:space="0" w:color="auto"/>
        <w:right w:val="none" w:sz="0" w:space="0" w:color="auto"/>
      </w:divBdr>
    </w:div>
    <w:div w:id="194388575">
      <w:bodyDiv w:val="1"/>
      <w:marLeft w:val="0"/>
      <w:marRight w:val="0"/>
      <w:marTop w:val="0"/>
      <w:marBottom w:val="0"/>
      <w:divBdr>
        <w:top w:val="none" w:sz="0" w:space="0" w:color="auto"/>
        <w:left w:val="none" w:sz="0" w:space="0" w:color="auto"/>
        <w:bottom w:val="none" w:sz="0" w:space="0" w:color="auto"/>
        <w:right w:val="none" w:sz="0" w:space="0" w:color="auto"/>
      </w:divBdr>
    </w:div>
    <w:div w:id="249654691">
      <w:bodyDiv w:val="1"/>
      <w:marLeft w:val="0"/>
      <w:marRight w:val="0"/>
      <w:marTop w:val="0"/>
      <w:marBottom w:val="0"/>
      <w:divBdr>
        <w:top w:val="none" w:sz="0" w:space="0" w:color="auto"/>
        <w:left w:val="none" w:sz="0" w:space="0" w:color="auto"/>
        <w:bottom w:val="none" w:sz="0" w:space="0" w:color="auto"/>
        <w:right w:val="none" w:sz="0" w:space="0" w:color="auto"/>
      </w:divBdr>
    </w:div>
    <w:div w:id="256796483">
      <w:bodyDiv w:val="1"/>
      <w:marLeft w:val="0"/>
      <w:marRight w:val="0"/>
      <w:marTop w:val="0"/>
      <w:marBottom w:val="0"/>
      <w:divBdr>
        <w:top w:val="none" w:sz="0" w:space="0" w:color="auto"/>
        <w:left w:val="none" w:sz="0" w:space="0" w:color="auto"/>
        <w:bottom w:val="none" w:sz="0" w:space="0" w:color="auto"/>
        <w:right w:val="none" w:sz="0" w:space="0" w:color="auto"/>
      </w:divBdr>
    </w:div>
    <w:div w:id="283998435">
      <w:bodyDiv w:val="1"/>
      <w:marLeft w:val="0"/>
      <w:marRight w:val="0"/>
      <w:marTop w:val="0"/>
      <w:marBottom w:val="0"/>
      <w:divBdr>
        <w:top w:val="none" w:sz="0" w:space="0" w:color="auto"/>
        <w:left w:val="none" w:sz="0" w:space="0" w:color="auto"/>
        <w:bottom w:val="none" w:sz="0" w:space="0" w:color="auto"/>
        <w:right w:val="none" w:sz="0" w:space="0" w:color="auto"/>
      </w:divBdr>
      <w:divsChild>
        <w:div w:id="137654046">
          <w:marLeft w:val="0"/>
          <w:marRight w:val="0"/>
          <w:marTop w:val="0"/>
          <w:marBottom w:val="0"/>
          <w:divBdr>
            <w:top w:val="none" w:sz="0" w:space="0" w:color="auto"/>
            <w:left w:val="none" w:sz="0" w:space="0" w:color="auto"/>
            <w:bottom w:val="none" w:sz="0" w:space="0" w:color="auto"/>
            <w:right w:val="none" w:sz="0" w:space="0" w:color="auto"/>
          </w:divBdr>
        </w:div>
        <w:div w:id="381826905">
          <w:marLeft w:val="0"/>
          <w:marRight w:val="0"/>
          <w:marTop w:val="0"/>
          <w:marBottom w:val="0"/>
          <w:divBdr>
            <w:top w:val="none" w:sz="0" w:space="0" w:color="auto"/>
            <w:left w:val="none" w:sz="0" w:space="0" w:color="auto"/>
            <w:bottom w:val="none" w:sz="0" w:space="0" w:color="auto"/>
            <w:right w:val="none" w:sz="0" w:space="0" w:color="auto"/>
          </w:divBdr>
        </w:div>
        <w:div w:id="1000425066">
          <w:marLeft w:val="0"/>
          <w:marRight w:val="0"/>
          <w:marTop w:val="0"/>
          <w:marBottom w:val="0"/>
          <w:divBdr>
            <w:top w:val="none" w:sz="0" w:space="0" w:color="auto"/>
            <w:left w:val="none" w:sz="0" w:space="0" w:color="auto"/>
            <w:bottom w:val="none" w:sz="0" w:space="0" w:color="auto"/>
            <w:right w:val="none" w:sz="0" w:space="0" w:color="auto"/>
          </w:divBdr>
        </w:div>
        <w:div w:id="1013530652">
          <w:marLeft w:val="0"/>
          <w:marRight w:val="0"/>
          <w:marTop w:val="0"/>
          <w:marBottom w:val="0"/>
          <w:divBdr>
            <w:top w:val="none" w:sz="0" w:space="0" w:color="auto"/>
            <w:left w:val="none" w:sz="0" w:space="0" w:color="auto"/>
            <w:bottom w:val="none" w:sz="0" w:space="0" w:color="auto"/>
            <w:right w:val="none" w:sz="0" w:space="0" w:color="auto"/>
          </w:divBdr>
        </w:div>
        <w:div w:id="1657413382">
          <w:marLeft w:val="0"/>
          <w:marRight w:val="0"/>
          <w:marTop w:val="0"/>
          <w:marBottom w:val="0"/>
          <w:divBdr>
            <w:top w:val="none" w:sz="0" w:space="0" w:color="auto"/>
            <w:left w:val="none" w:sz="0" w:space="0" w:color="auto"/>
            <w:bottom w:val="none" w:sz="0" w:space="0" w:color="auto"/>
            <w:right w:val="none" w:sz="0" w:space="0" w:color="auto"/>
          </w:divBdr>
        </w:div>
        <w:div w:id="1789084175">
          <w:marLeft w:val="0"/>
          <w:marRight w:val="0"/>
          <w:marTop w:val="0"/>
          <w:marBottom w:val="0"/>
          <w:divBdr>
            <w:top w:val="none" w:sz="0" w:space="0" w:color="auto"/>
            <w:left w:val="none" w:sz="0" w:space="0" w:color="auto"/>
            <w:bottom w:val="none" w:sz="0" w:space="0" w:color="auto"/>
            <w:right w:val="none" w:sz="0" w:space="0" w:color="auto"/>
          </w:divBdr>
        </w:div>
        <w:div w:id="1803621362">
          <w:marLeft w:val="0"/>
          <w:marRight w:val="0"/>
          <w:marTop w:val="0"/>
          <w:marBottom w:val="0"/>
          <w:divBdr>
            <w:top w:val="none" w:sz="0" w:space="0" w:color="auto"/>
            <w:left w:val="none" w:sz="0" w:space="0" w:color="auto"/>
            <w:bottom w:val="none" w:sz="0" w:space="0" w:color="auto"/>
            <w:right w:val="none" w:sz="0" w:space="0" w:color="auto"/>
          </w:divBdr>
        </w:div>
        <w:div w:id="1965651162">
          <w:marLeft w:val="0"/>
          <w:marRight w:val="0"/>
          <w:marTop w:val="0"/>
          <w:marBottom w:val="0"/>
          <w:divBdr>
            <w:top w:val="none" w:sz="0" w:space="0" w:color="auto"/>
            <w:left w:val="none" w:sz="0" w:space="0" w:color="auto"/>
            <w:bottom w:val="none" w:sz="0" w:space="0" w:color="auto"/>
            <w:right w:val="none" w:sz="0" w:space="0" w:color="auto"/>
          </w:divBdr>
        </w:div>
      </w:divsChild>
    </w:div>
    <w:div w:id="287130818">
      <w:bodyDiv w:val="1"/>
      <w:marLeft w:val="0"/>
      <w:marRight w:val="0"/>
      <w:marTop w:val="0"/>
      <w:marBottom w:val="0"/>
      <w:divBdr>
        <w:top w:val="none" w:sz="0" w:space="0" w:color="auto"/>
        <w:left w:val="none" w:sz="0" w:space="0" w:color="auto"/>
        <w:bottom w:val="none" w:sz="0" w:space="0" w:color="auto"/>
        <w:right w:val="none" w:sz="0" w:space="0" w:color="auto"/>
      </w:divBdr>
    </w:div>
    <w:div w:id="323318957">
      <w:bodyDiv w:val="1"/>
      <w:marLeft w:val="0"/>
      <w:marRight w:val="0"/>
      <w:marTop w:val="0"/>
      <w:marBottom w:val="0"/>
      <w:divBdr>
        <w:top w:val="none" w:sz="0" w:space="0" w:color="auto"/>
        <w:left w:val="none" w:sz="0" w:space="0" w:color="auto"/>
        <w:bottom w:val="none" w:sz="0" w:space="0" w:color="auto"/>
        <w:right w:val="none" w:sz="0" w:space="0" w:color="auto"/>
      </w:divBdr>
    </w:div>
    <w:div w:id="381371907">
      <w:bodyDiv w:val="1"/>
      <w:marLeft w:val="0"/>
      <w:marRight w:val="0"/>
      <w:marTop w:val="0"/>
      <w:marBottom w:val="0"/>
      <w:divBdr>
        <w:top w:val="none" w:sz="0" w:space="0" w:color="auto"/>
        <w:left w:val="none" w:sz="0" w:space="0" w:color="auto"/>
        <w:bottom w:val="none" w:sz="0" w:space="0" w:color="auto"/>
        <w:right w:val="none" w:sz="0" w:space="0" w:color="auto"/>
      </w:divBdr>
    </w:div>
    <w:div w:id="386298935">
      <w:bodyDiv w:val="1"/>
      <w:marLeft w:val="0"/>
      <w:marRight w:val="0"/>
      <w:marTop w:val="0"/>
      <w:marBottom w:val="0"/>
      <w:divBdr>
        <w:top w:val="none" w:sz="0" w:space="0" w:color="auto"/>
        <w:left w:val="none" w:sz="0" w:space="0" w:color="auto"/>
        <w:bottom w:val="none" w:sz="0" w:space="0" w:color="auto"/>
        <w:right w:val="none" w:sz="0" w:space="0" w:color="auto"/>
      </w:divBdr>
    </w:div>
    <w:div w:id="399443626">
      <w:bodyDiv w:val="1"/>
      <w:marLeft w:val="0"/>
      <w:marRight w:val="0"/>
      <w:marTop w:val="0"/>
      <w:marBottom w:val="0"/>
      <w:divBdr>
        <w:top w:val="none" w:sz="0" w:space="0" w:color="auto"/>
        <w:left w:val="none" w:sz="0" w:space="0" w:color="auto"/>
        <w:bottom w:val="none" w:sz="0" w:space="0" w:color="auto"/>
        <w:right w:val="none" w:sz="0" w:space="0" w:color="auto"/>
      </w:divBdr>
    </w:div>
    <w:div w:id="408039650">
      <w:bodyDiv w:val="1"/>
      <w:marLeft w:val="0"/>
      <w:marRight w:val="0"/>
      <w:marTop w:val="0"/>
      <w:marBottom w:val="0"/>
      <w:divBdr>
        <w:top w:val="none" w:sz="0" w:space="0" w:color="auto"/>
        <w:left w:val="none" w:sz="0" w:space="0" w:color="auto"/>
        <w:bottom w:val="none" w:sz="0" w:space="0" w:color="auto"/>
        <w:right w:val="none" w:sz="0" w:space="0" w:color="auto"/>
      </w:divBdr>
    </w:div>
    <w:div w:id="416171884">
      <w:bodyDiv w:val="1"/>
      <w:marLeft w:val="0"/>
      <w:marRight w:val="0"/>
      <w:marTop w:val="0"/>
      <w:marBottom w:val="0"/>
      <w:divBdr>
        <w:top w:val="none" w:sz="0" w:space="0" w:color="auto"/>
        <w:left w:val="none" w:sz="0" w:space="0" w:color="auto"/>
        <w:bottom w:val="none" w:sz="0" w:space="0" w:color="auto"/>
        <w:right w:val="none" w:sz="0" w:space="0" w:color="auto"/>
      </w:divBdr>
    </w:div>
    <w:div w:id="424881929">
      <w:bodyDiv w:val="1"/>
      <w:marLeft w:val="0"/>
      <w:marRight w:val="0"/>
      <w:marTop w:val="0"/>
      <w:marBottom w:val="0"/>
      <w:divBdr>
        <w:top w:val="none" w:sz="0" w:space="0" w:color="auto"/>
        <w:left w:val="none" w:sz="0" w:space="0" w:color="auto"/>
        <w:bottom w:val="none" w:sz="0" w:space="0" w:color="auto"/>
        <w:right w:val="none" w:sz="0" w:space="0" w:color="auto"/>
      </w:divBdr>
      <w:divsChild>
        <w:div w:id="29838300">
          <w:marLeft w:val="0"/>
          <w:marRight w:val="0"/>
          <w:marTop w:val="0"/>
          <w:marBottom w:val="0"/>
          <w:divBdr>
            <w:top w:val="none" w:sz="0" w:space="0" w:color="auto"/>
            <w:left w:val="none" w:sz="0" w:space="0" w:color="auto"/>
            <w:bottom w:val="none" w:sz="0" w:space="0" w:color="auto"/>
            <w:right w:val="none" w:sz="0" w:space="0" w:color="auto"/>
          </w:divBdr>
        </w:div>
        <w:div w:id="76631052">
          <w:marLeft w:val="0"/>
          <w:marRight w:val="0"/>
          <w:marTop w:val="0"/>
          <w:marBottom w:val="0"/>
          <w:divBdr>
            <w:top w:val="none" w:sz="0" w:space="0" w:color="auto"/>
            <w:left w:val="none" w:sz="0" w:space="0" w:color="auto"/>
            <w:bottom w:val="none" w:sz="0" w:space="0" w:color="auto"/>
            <w:right w:val="none" w:sz="0" w:space="0" w:color="auto"/>
          </w:divBdr>
        </w:div>
        <w:div w:id="222567825">
          <w:marLeft w:val="0"/>
          <w:marRight w:val="0"/>
          <w:marTop w:val="0"/>
          <w:marBottom w:val="0"/>
          <w:divBdr>
            <w:top w:val="none" w:sz="0" w:space="0" w:color="auto"/>
            <w:left w:val="none" w:sz="0" w:space="0" w:color="auto"/>
            <w:bottom w:val="none" w:sz="0" w:space="0" w:color="auto"/>
            <w:right w:val="none" w:sz="0" w:space="0" w:color="auto"/>
          </w:divBdr>
        </w:div>
        <w:div w:id="278411218">
          <w:marLeft w:val="0"/>
          <w:marRight w:val="0"/>
          <w:marTop w:val="0"/>
          <w:marBottom w:val="0"/>
          <w:divBdr>
            <w:top w:val="none" w:sz="0" w:space="0" w:color="auto"/>
            <w:left w:val="none" w:sz="0" w:space="0" w:color="auto"/>
            <w:bottom w:val="none" w:sz="0" w:space="0" w:color="auto"/>
            <w:right w:val="none" w:sz="0" w:space="0" w:color="auto"/>
          </w:divBdr>
        </w:div>
        <w:div w:id="916595538">
          <w:marLeft w:val="0"/>
          <w:marRight w:val="0"/>
          <w:marTop w:val="0"/>
          <w:marBottom w:val="0"/>
          <w:divBdr>
            <w:top w:val="none" w:sz="0" w:space="0" w:color="auto"/>
            <w:left w:val="none" w:sz="0" w:space="0" w:color="auto"/>
            <w:bottom w:val="none" w:sz="0" w:space="0" w:color="auto"/>
            <w:right w:val="none" w:sz="0" w:space="0" w:color="auto"/>
          </w:divBdr>
        </w:div>
        <w:div w:id="1208450945">
          <w:marLeft w:val="0"/>
          <w:marRight w:val="0"/>
          <w:marTop w:val="0"/>
          <w:marBottom w:val="0"/>
          <w:divBdr>
            <w:top w:val="none" w:sz="0" w:space="0" w:color="auto"/>
            <w:left w:val="none" w:sz="0" w:space="0" w:color="auto"/>
            <w:bottom w:val="none" w:sz="0" w:space="0" w:color="auto"/>
            <w:right w:val="none" w:sz="0" w:space="0" w:color="auto"/>
          </w:divBdr>
        </w:div>
        <w:div w:id="1521747355">
          <w:marLeft w:val="0"/>
          <w:marRight w:val="0"/>
          <w:marTop w:val="0"/>
          <w:marBottom w:val="0"/>
          <w:divBdr>
            <w:top w:val="none" w:sz="0" w:space="0" w:color="auto"/>
            <w:left w:val="none" w:sz="0" w:space="0" w:color="auto"/>
            <w:bottom w:val="none" w:sz="0" w:space="0" w:color="auto"/>
            <w:right w:val="none" w:sz="0" w:space="0" w:color="auto"/>
          </w:divBdr>
        </w:div>
        <w:div w:id="1955944395">
          <w:marLeft w:val="0"/>
          <w:marRight w:val="0"/>
          <w:marTop w:val="0"/>
          <w:marBottom w:val="0"/>
          <w:divBdr>
            <w:top w:val="none" w:sz="0" w:space="0" w:color="auto"/>
            <w:left w:val="none" w:sz="0" w:space="0" w:color="auto"/>
            <w:bottom w:val="none" w:sz="0" w:space="0" w:color="auto"/>
            <w:right w:val="none" w:sz="0" w:space="0" w:color="auto"/>
          </w:divBdr>
        </w:div>
      </w:divsChild>
    </w:div>
    <w:div w:id="486551884">
      <w:bodyDiv w:val="1"/>
      <w:marLeft w:val="0"/>
      <w:marRight w:val="0"/>
      <w:marTop w:val="0"/>
      <w:marBottom w:val="0"/>
      <w:divBdr>
        <w:top w:val="none" w:sz="0" w:space="0" w:color="auto"/>
        <w:left w:val="none" w:sz="0" w:space="0" w:color="auto"/>
        <w:bottom w:val="none" w:sz="0" w:space="0" w:color="auto"/>
        <w:right w:val="none" w:sz="0" w:space="0" w:color="auto"/>
      </w:divBdr>
    </w:div>
    <w:div w:id="572663142">
      <w:bodyDiv w:val="1"/>
      <w:marLeft w:val="0"/>
      <w:marRight w:val="0"/>
      <w:marTop w:val="0"/>
      <w:marBottom w:val="0"/>
      <w:divBdr>
        <w:top w:val="none" w:sz="0" w:space="0" w:color="auto"/>
        <w:left w:val="none" w:sz="0" w:space="0" w:color="auto"/>
        <w:bottom w:val="none" w:sz="0" w:space="0" w:color="auto"/>
        <w:right w:val="none" w:sz="0" w:space="0" w:color="auto"/>
      </w:divBdr>
    </w:div>
    <w:div w:id="600451222">
      <w:bodyDiv w:val="1"/>
      <w:marLeft w:val="0"/>
      <w:marRight w:val="0"/>
      <w:marTop w:val="0"/>
      <w:marBottom w:val="0"/>
      <w:divBdr>
        <w:top w:val="none" w:sz="0" w:space="0" w:color="auto"/>
        <w:left w:val="none" w:sz="0" w:space="0" w:color="auto"/>
        <w:bottom w:val="none" w:sz="0" w:space="0" w:color="auto"/>
        <w:right w:val="none" w:sz="0" w:space="0" w:color="auto"/>
      </w:divBdr>
    </w:div>
    <w:div w:id="718088409">
      <w:bodyDiv w:val="1"/>
      <w:marLeft w:val="0"/>
      <w:marRight w:val="0"/>
      <w:marTop w:val="0"/>
      <w:marBottom w:val="0"/>
      <w:divBdr>
        <w:top w:val="none" w:sz="0" w:space="0" w:color="auto"/>
        <w:left w:val="none" w:sz="0" w:space="0" w:color="auto"/>
        <w:bottom w:val="none" w:sz="0" w:space="0" w:color="auto"/>
        <w:right w:val="none" w:sz="0" w:space="0" w:color="auto"/>
      </w:divBdr>
    </w:div>
    <w:div w:id="773936332">
      <w:bodyDiv w:val="1"/>
      <w:marLeft w:val="0"/>
      <w:marRight w:val="0"/>
      <w:marTop w:val="0"/>
      <w:marBottom w:val="0"/>
      <w:divBdr>
        <w:top w:val="none" w:sz="0" w:space="0" w:color="auto"/>
        <w:left w:val="none" w:sz="0" w:space="0" w:color="auto"/>
        <w:bottom w:val="none" w:sz="0" w:space="0" w:color="auto"/>
        <w:right w:val="none" w:sz="0" w:space="0" w:color="auto"/>
      </w:divBdr>
    </w:div>
    <w:div w:id="777022119">
      <w:bodyDiv w:val="1"/>
      <w:marLeft w:val="0"/>
      <w:marRight w:val="0"/>
      <w:marTop w:val="0"/>
      <w:marBottom w:val="0"/>
      <w:divBdr>
        <w:top w:val="none" w:sz="0" w:space="0" w:color="auto"/>
        <w:left w:val="none" w:sz="0" w:space="0" w:color="auto"/>
        <w:bottom w:val="none" w:sz="0" w:space="0" w:color="auto"/>
        <w:right w:val="none" w:sz="0" w:space="0" w:color="auto"/>
      </w:divBdr>
    </w:div>
    <w:div w:id="788860118">
      <w:bodyDiv w:val="1"/>
      <w:marLeft w:val="0"/>
      <w:marRight w:val="0"/>
      <w:marTop w:val="0"/>
      <w:marBottom w:val="0"/>
      <w:divBdr>
        <w:top w:val="none" w:sz="0" w:space="0" w:color="auto"/>
        <w:left w:val="none" w:sz="0" w:space="0" w:color="auto"/>
        <w:bottom w:val="none" w:sz="0" w:space="0" w:color="auto"/>
        <w:right w:val="none" w:sz="0" w:space="0" w:color="auto"/>
      </w:divBdr>
    </w:div>
    <w:div w:id="805242730">
      <w:bodyDiv w:val="1"/>
      <w:marLeft w:val="0"/>
      <w:marRight w:val="0"/>
      <w:marTop w:val="0"/>
      <w:marBottom w:val="0"/>
      <w:divBdr>
        <w:top w:val="none" w:sz="0" w:space="0" w:color="auto"/>
        <w:left w:val="none" w:sz="0" w:space="0" w:color="auto"/>
        <w:bottom w:val="none" w:sz="0" w:space="0" w:color="auto"/>
        <w:right w:val="none" w:sz="0" w:space="0" w:color="auto"/>
      </w:divBdr>
    </w:div>
    <w:div w:id="818569975">
      <w:bodyDiv w:val="1"/>
      <w:marLeft w:val="0"/>
      <w:marRight w:val="0"/>
      <w:marTop w:val="0"/>
      <w:marBottom w:val="0"/>
      <w:divBdr>
        <w:top w:val="none" w:sz="0" w:space="0" w:color="auto"/>
        <w:left w:val="none" w:sz="0" w:space="0" w:color="auto"/>
        <w:bottom w:val="none" w:sz="0" w:space="0" w:color="auto"/>
        <w:right w:val="none" w:sz="0" w:space="0" w:color="auto"/>
      </w:divBdr>
    </w:div>
    <w:div w:id="825508568">
      <w:bodyDiv w:val="1"/>
      <w:marLeft w:val="0"/>
      <w:marRight w:val="0"/>
      <w:marTop w:val="0"/>
      <w:marBottom w:val="0"/>
      <w:divBdr>
        <w:top w:val="none" w:sz="0" w:space="0" w:color="auto"/>
        <w:left w:val="none" w:sz="0" w:space="0" w:color="auto"/>
        <w:bottom w:val="none" w:sz="0" w:space="0" w:color="auto"/>
        <w:right w:val="none" w:sz="0" w:space="0" w:color="auto"/>
      </w:divBdr>
    </w:div>
    <w:div w:id="864754301">
      <w:bodyDiv w:val="1"/>
      <w:marLeft w:val="0"/>
      <w:marRight w:val="0"/>
      <w:marTop w:val="0"/>
      <w:marBottom w:val="0"/>
      <w:divBdr>
        <w:top w:val="none" w:sz="0" w:space="0" w:color="auto"/>
        <w:left w:val="none" w:sz="0" w:space="0" w:color="auto"/>
        <w:bottom w:val="none" w:sz="0" w:space="0" w:color="auto"/>
        <w:right w:val="none" w:sz="0" w:space="0" w:color="auto"/>
      </w:divBdr>
    </w:div>
    <w:div w:id="888958658">
      <w:bodyDiv w:val="1"/>
      <w:marLeft w:val="0"/>
      <w:marRight w:val="0"/>
      <w:marTop w:val="0"/>
      <w:marBottom w:val="0"/>
      <w:divBdr>
        <w:top w:val="none" w:sz="0" w:space="0" w:color="auto"/>
        <w:left w:val="none" w:sz="0" w:space="0" w:color="auto"/>
        <w:bottom w:val="none" w:sz="0" w:space="0" w:color="auto"/>
        <w:right w:val="none" w:sz="0" w:space="0" w:color="auto"/>
      </w:divBdr>
    </w:div>
    <w:div w:id="895361153">
      <w:bodyDiv w:val="1"/>
      <w:marLeft w:val="0"/>
      <w:marRight w:val="0"/>
      <w:marTop w:val="0"/>
      <w:marBottom w:val="0"/>
      <w:divBdr>
        <w:top w:val="none" w:sz="0" w:space="0" w:color="auto"/>
        <w:left w:val="none" w:sz="0" w:space="0" w:color="auto"/>
        <w:bottom w:val="none" w:sz="0" w:space="0" w:color="auto"/>
        <w:right w:val="none" w:sz="0" w:space="0" w:color="auto"/>
      </w:divBdr>
    </w:div>
    <w:div w:id="897325132">
      <w:bodyDiv w:val="1"/>
      <w:marLeft w:val="0"/>
      <w:marRight w:val="0"/>
      <w:marTop w:val="0"/>
      <w:marBottom w:val="0"/>
      <w:divBdr>
        <w:top w:val="none" w:sz="0" w:space="0" w:color="auto"/>
        <w:left w:val="none" w:sz="0" w:space="0" w:color="auto"/>
        <w:bottom w:val="none" w:sz="0" w:space="0" w:color="auto"/>
        <w:right w:val="none" w:sz="0" w:space="0" w:color="auto"/>
      </w:divBdr>
    </w:div>
    <w:div w:id="903611952">
      <w:bodyDiv w:val="1"/>
      <w:marLeft w:val="0"/>
      <w:marRight w:val="0"/>
      <w:marTop w:val="0"/>
      <w:marBottom w:val="0"/>
      <w:divBdr>
        <w:top w:val="none" w:sz="0" w:space="0" w:color="auto"/>
        <w:left w:val="none" w:sz="0" w:space="0" w:color="auto"/>
        <w:bottom w:val="none" w:sz="0" w:space="0" w:color="auto"/>
        <w:right w:val="none" w:sz="0" w:space="0" w:color="auto"/>
      </w:divBdr>
    </w:div>
    <w:div w:id="920719366">
      <w:bodyDiv w:val="1"/>
      <w:marLeft w:val="0"/>
      <w:marRight w:val="0"/>
      <w:marTop w:val="0"/>
      <w:marBottom w:val="0"/>
      <w:divBdr>
        <w:top w:val="none" w:sz="0" w:space="0" w:color="auto"/>
        <w:left w:val="none" w:sz="0" w:space="0" w:color="auto"/>
        <w:bottom w:val="none" w:sz="0" w:space="0" w:color="auto"/>
        <w:right w:val="none" w:sz="0" w:space="0" w:color="auto"/>
      </w:divBdr>
    </w:div>
    <w:div w:id="952323894">
      <w:bodyDiv w:val="1"/>
      <w:marLeft w:val="0"/>
      <w:marRight w:val="0"/>
      <w:marTop w:val="0"/>
      <w:marBottom w:val="0"/>
      <w:divBdr>
        <w:top w:val="none" w:sz="0" w:space="0" w:color="auto"/>
        <w:left w:val="none" w:sz="0" w:space="0" w:color="auto"/>
        <w:bottom w:val="none" w:sz="0" w:space="0" w:color="auto"/>
        <w:right w:val="none" w:sz="0" w:space="0" w:color="auto"/>
      </w:divBdr>
    </w:div>
    <w:div w:id="1070351549">
      <w:bodyDiv w:val="1"/>
      <w:marLeft w:val="0"/>
      <w:marRight w:val="0"/>
      <w:marTop w:val="0"/>
      <w:marBottom w:val="0"/>
      <w:divBdr>
        <w:top w:val="none" w:sz="0" w:space="0" w:color="auto"/>
        <w:left w:val="none" w:sz="0" w:space="0" w:color="auto"/>
        <w:bottom w:val="none" w:sz="0" w:space="0" w:color="auto"/>
        <w:right w:val="none" w:sz="0" w:space="0" w:color="auto"/>
      </w:divBdr>
      <w:divsChild>
        <w:div w:id="260649124">
          <w:marLeft w:val="0"/>
          <w:marRight w:val="0"/>
          <w:marTop w:val="0"/>
          <w:marBottom w:val="0"/>
          <w:divBdr>
            <w:top w:val="none" w:sz="0" w:space="0" w:color="auto"/>
            <w:left w:val="none" w:sz="0" w:space="0" w:color="auto"/>
            <w:bottom w:val="none" w:sz="0" w:space="0" w:color="auto"/>
            <w:right w:val="none" w:sz="0" w:space="0" w:color="auto"/>
          </w:divBdr>
        </w:div>
        <w:div w:id="390420248">
          <w:marLeft w:val="0"/>
          <w:marRight w:val="0"/>
          <w:marTop w:val="0"/>
          <w:marBottom w:val="0"/>
          <w:divBdr>
            <w:top w:val="none" w:sz="0" w:space="0" w:color="auto"/>
            <w:left w:val="none" w:sz="0" w:space="0" w:color="auto"/>
            <w:bottom w:val="none" w:sz="0" w:space="0" w:color="auto"/>
            <w:right w:val="none" w:sz="0" w:space="0" w:color="auto"/>
          </w:divBdr>
        </w:div>
        <w:div w:id="461072513">
          <w:marLeft w:val="0"/>
          <w:marRight w:val="0"/>
          <w:marTop w:val="0"/>
          <w:marBottom w:val="0"/>
          <w:divBdr>
            <w:top w:val="none" w:sz="0" w:space="0" w:color="auto"/>
            <w:left w:val="none" w:sz="0" w:space="0" w:color="auto"/>
            <w:bottom w:val="none" w:sz="0" w:space="0" w:color="auto"/>
            <w:right w:val="none" w:sz="0" w:space="0" w:color="auto"/>
          </w:divBdr>
        </w:div>
        <w:div w:id="1357000789">
          <w:marLeft w:val="0"/>
          <w:marRight w:val="0"/>
          <w:marTop w:val="0"/>
          <w:marBottom w:val="0"/>
          <w:divBdr>
            <w:top w:val="none" w:sz="0" w:space="0" w:color="auto"/>
            <w:left w:val="none" w:sz="0" w:space="0" w:color="auto"/>
            <w:bottom w:val="none" w:sz="0" w:space="0" w:color="auto"/>
            <w:right w:val="none" w:sz="0" w:space="0" w:color="auto"/>
          </w:divBdr>
        </w:div>
        <w:div w:id="1684550339">
          <w:marLeft w:val="0"/>
          <w:marRight w:val="0"/>
          <w:marTop w:val="0"/>
          <w:marBottom w:val="0"/>
          <w:divBdr>
            <w:top w:val="none" w:sz="0" w:space="0" w:color="auto"/>
            <w:left w:val="none" w:sz="0" w:space="0" w:color="auto"/>
            <w:bottom w:val="none" w:sz="0" w:space="0" w:color="auto"/>
            <w:right w:val="none" w:sz="0" w:space="0" w:color="auto"/>
          </w:divBdr>
        </w:div>
        <w:div w:id="1876116982">
          <w:marLeft w:val="0"/>
          <w:marRight w:val="0"/>
          <w:marTop w:val="0"/>
          <w:marBottom w:val="0"/>
          <w:divBdr>
            <w:top w:val="none" w:sz="0" w:space="0" w:color="auto"/>
            <w:left w:val="none" w:sz="0" w:space="0" w:color="auto"/>
            <w:bottom w:val="none" w:sz="0" w:space="0" w:color="auto"/>
            <w:right w:val="none" w:sz="0" w:space="0" w:color="auto"/>
          </w:divBdr>
        </w:div>
      </w:divsChild>
    </w:div>
    <w:div w:id="1128668233">
      <w:bodyDiv w:val="1"/>
      <w:marLeft w:val="0"/>
      <w:marRight w:val="0"/>
      <w:marTop w:val="0"/>
      <w:marBottom w:val="0"/>
      <w:divBdr>
        <w:top w:val="none" w:sz="0" w:space="0" w:color="auto"/>
        <w:left w:val="none" w:sz="0" w:space="0" w:color="auto"/>
        <w:bottom w:val="none" w:sz="0" w:space="0" w:color="auto"/>
        <w:right w:val="none" w:sz="0" w:space="0" w:color="auto"/>
      </w:divBdr>
    </w:div>
    <w:div w:id="1135416107">
      <w:bodyDiv w:val="1"/>
      <w:marLeft w:val="0"/>
      <w:marRight w:val="0"/>
      <w:marTop w:val="0"/>
      <w:marBottom w:val="0"/>
      <w:divBdr>
        <w:top w:val="none" w:sz="0" w:space="0" w:color="auto"/>
        <w:left w:val="none" w:sz="0" w:space="0" w:color="auto"/>
        <w:bottom w:val="none" w:sz="0" w:space="0" w:color="auto"/>
        <w:right w:val="none" w:sz="0" w:space="0" w:color="auto"/>
      </w:divBdr>
    </w:div>
    <w:div w:id="1150365686">
      <w:bodyDiv w:val="1"/>
      <w:marLeft w:val="0"/>
      <w:marRight w:val="0"/>
      <w:marTop w:val="0"/>
      <w:marBottom w:val="0"/>
      <w:divBdr>
        <w:top w:val="none" w:sz="0" w:space="0" w:color="auto"/>
        <w:left w:val="none" w:sz="0" w:space="0" w:color="auto"/>
        <w:bottom w:val="none" w:sz="0" w:space="0" w:color="auto"/>
        <w:right w:val="none" w:sz="0" w:space="0" w:color="auto"/>
      </w:divBdr>
    </w:div>
    <w:div w:id="1210873880">
      <w:bodyDiv w:val="1"/>
      <w:marLeft w:val="0"/>
      <w:marRight w:val="0"/>
      <w:marTop w:val="0"/>
      <w:marBottom w:val="0"/>
      <w:divBdr>
        <w:top w:val="none" w:sz="0" w:space="0" w:color="auto"/>
        <w:left w:val="none" w:sz="0" w:space="0" w:color="auto"/>
        <w:bottom w:val="none" w:sz="0" w:space="0" w:color="auto"/>
        <w:right w:val="none" w:sz="0" w:space="0" w:color="auto"/>
      </w:divBdr>
    </w:div>
    <w:div w:id="1235704811">
      <w:bodyDiv w:val="1"/>
      <w:marLeft w:val="0"/>
      <w:marRight w:val="0"/>
      <w:marTop w:val="0"/>
      <w:marBottom w:val="0"/>
      <w:divBdr>
        <w:top w:val="none" w:sz="0" w:space="0" w:color="auto"/>
        <w:left w:val="none" w:sz="0" w:space="0" w:color="auto"/>
        <w:bottom w:val="none" w:sz="0" w:space="0" w:color="auto"/>
        <w:right w:val="none" w:sz="0" w:space="0" w:color="auto"/>
      </w:divBdr>
      <w:divsChild>
        <w:div w:id="220218327">
          <w:marLeft w:val="0"/>
          <w:marRight w:val="0"/>
          <w:marTop w:val="0"/>
          <w:marBottom w:val="0"/>
          <w:divBdr>
            <w:top w:val="none" w:sz="0" w:space="0" w:color="auto"/>
            <w:left w:val="none" w:sz="0" w:space="0" w:color="auto"/>
            <w:bottom w:val="none" w:sz="0" w:space="0" w:color="auto"/>
            <w:right w:val="none" w:sz="0" w:space="0" w:color="auto"/>
          </w:divBdr>
        </w:div>
        <w:div w:id="321011307">
          <w:marLeft w:val="0"/>
          <w:marRight w:val="0"/>
          <w:marTop w:val="0"/>
          <w:marBottom w:val="0"/>
          <w:divBdr>
            <w:top w:val="none" w:sz="0" w:space="0" w:color="auto"/>
            <w:left w:val="none" w:sz="0" w:space="0" w:color="auto"/>
            <w:bottom w:val="none" w:sz="0" w:space="0" w:color="auto"/>
            <w:right w:val="none" w:sz="0" w:space="0" w:color="auto"/>
          </w:divBdr>
        </w:div>
        <w:div w:id="473916687">
          <w:marLeft w:val="0"/>
          <w:marRight w:val="0"/>
          <w:marTop w:val="0"/>
          <w:marBottom w:val="0"/>
          <w:divBdr>
            <w:top w:val="none" w:sz="0" w:space="0" w:color="auto"/>
            <w:left w:val="none" w:sz="0" w:space="0" w:color="auto"/>
            <w:bottom w:val="none" w:sz="0" w:space="0" w:color="auto"/>
            <w:right w:val="none" w:sz="0" w:space="0" w:color="auto"/>
          </w:divBdr>
        </w:div>
        <w:div w:id="641038456">
          <w:marLeft w:val="0"/>
          <w:marRight w:val="0"/>
          <w:marTop w:val="0"/>
          <w:marBottom w:val="0"/>
          <w:divBdr>
            <w:top w:val="none" w:sz="0" w:space="0" w:color="auto"/>
            <w:left w:val="none" w:sz="0" w:space="0" w:color="auto"/>
            <w:bottom w:val="none" w:sz="0" w:space="0" w:color="auto"/>
            <w:right w:val="none" w:sz="0" w:space="0" w:color="auto"/>
          </w:divBdr>
        </w:div>
        <w:div w:id="1010833302">
          <w:marLeft w:val="0"/>
          <w:marRight w:val="0"/>
          <w:marTop w:val="0"/>
          <w:marBottom w:val="0"/>
          <w:divBdr>
            <w:top w:val="none" w:sz="0" w:space="0" w:color="auto"/>
            <w:left w:val="none" w:sz="0" w:space="0" w:color="auto"/>
            <w:bottom w:val="none" w:sz="0" w:space="0" w:color="auto"/>
            <w:right w:val="none" w:sz="0" w:space="0" w:color="auto"/>
          </w:divBdr>
        </w:div>
        <w:div w:id="1833371763">
          <w:marLeft w:val="0"/>
          <w:marRight w:val="0"/>
          <w:marTop w:val="0"/>
          <w:marBottom w:val="0"/>
          <w:divBdr>
            <w:top w:val="none" w:sz="0" w:space="0" w:color="auto"/>
            <w:left w:val="none" w:sz="0" w:space="0" w:color="auto"/>
            <w:bottom w:val="none" w:sz="0" w:space="0" w:color="auto"/>
            <w:right w:val="none" w:sz="0" w:space="0" w:color="auto"/>
          </w:divBdr>
        </w:div>
      </w:divsChild>
    </w:div>
    <w:div w:id="1239439727">
      <w:bodyDiv w:val="1"/>
      <w:marLeft w:val="0"/>
      <w:marRight w:val="0"/>
      <w:marTop w:val="0"/>
      <w:marBottom w:val="0"/>
      <w:divBdr>
        <w:top w:val="none" w:sz="0" w:space="0" w:color="auto"/>
        <w:left w:val="none" w:sz="0" w:space="0" w:color="auto"/>
        <w:bottom w:val="none" w:sz="0" w:space="0" w:color="auto"/>
        <w:right w:val="none" w:sz="0" w:space="0" w:color="auto"/>
      </w:divBdr>
    </w:div>
    <w:div w:id="1245409143">
      <w:bodyDiv w:val="1"/>
      <w:marLeft w:val="0"/>
      <w:marRight w:val="0"/>
      <w:marTop w:val="0"/>
      <w:marBottom w:val="0"/>
      <w:divBdr>
        <w:top w:val="none" w:sz="0" w:space="0" w:color="auto"/>
        <w:left w:val="none" w:sz="0" w:space="0" w:color="auto"/>
        <w:bottom w:val="none" w:sz="0" w:space="0" w:color="auto"/>
        <w:right w:val="none" w:sz="0" w:space="0" w:color="auto"/>
      </w:divBdr>
    </w:div>
    <w:div w:id="1249656713">
      <w:bodyDiv w:val="1"/>
      <w:marLeft w:val="0"/>
      <w:marRight w:val="0"/>
      <w:marTop w:val="0"/>
      <w:marBottom w:val="0"/>
      <w:divBdr>
        <w:top w:val="none" w:sz="0" w:space="0" w:color="auto"/>
        <w:left w:val="none" w:sz="0" w:space="0" w:color="auto"/>
        <w:bottom w:val="none" w:sz="0" w:space="0" w:color="auto"/>
        <w:right w:val="none" w:sz="0" w:space="0" w:color="auto"/>
      </w:divBdr>
    </w:div>
    <w:div w:id="1251238662">
      <w:bodyDiv w:val="1"/>
      <w:marLeft w:val="0"/>
      <w:marRight w:val="0"/>
      <w:marTop w:val="0"/>
      <w:marBottom w:val="0"/>
      <w:divBdr>
        <w:top w:val="none" w:sz="0" w:space="0" w:color="auto"/>
        <w:left w:val="none" w:sz="0" w:space="0" w:color="auto"/>
        <w:bottom w:val="none" w:sz="0" w:space="0" w:color="auto"/>
        <w:right w:val="none" w:sz="0" w:space="0" w:color="auto"/>
      </w:divBdr>
      <w:divsChild>
        <w:div w:id="187526311">
          <w:marLeft w:val="0"/>
          <w:marRight w:val="0"/>
          <w:marTop w:val="0"/>
          <w:marBottom w:val="0"/>
          <w:divBdr>
            <w:top w:val="none" w:sz="0" w:space="0" w:color="auto"/>
            <w:left w:val="none" w:sz="0" w:space="0" w:color="auto"/>
            <w:bottom w:val="none" w:sz="0" w:space="0" w:color="auto"/>
            <w:right w:val="none" w:sz="0" w:space="0" w:color="auto"/>
          </w:divBdr>
        </w:div>
        <w:div w:id="377632633">
          <w:marLeft w:val="0"/>
          <w:marRight w:val="0"/>
          <w:marTop w:val="0"/>
          <w:marBottom w:val="0"/>
          <w:divBdr>
            <w:top w:val="none" w:sz="0" w:space="0" w:color="auto"/>
            <w:left w:val="none" w:sz="0" w:space="0" w:color="auto"/>
            <w:bottom w:val="none" w:sz="0" w:space="0" w:color="auto"/>
            <w:right w:val="none" w:sz="0" w:space="0" w:color="auto"/>
          </w:divBdr>
        </w:div>
        <w:div w:id="719401218">
          <w:marLeft w:val="0"/>
          <w:marRight w:val="0"/>
          <w:marTop w:val="0"/>
          <w:marBottom w:val="0"/>
          <w:divBdr>
            <w:top w:val="none" w:sz="0" w:space="0" w:color="auto"/>
            <w:left w:val="none" w:sz="0" w:space="0" w:color="auto"/>
            <w:bottom w:val="none" w:sz="0" w:space="0" w:color="auto"/>
            <w:right w:val="none" w:sz="0" w:space="0" w:color="auto"/>
          </w:divBdr>
        </w:div>
        <w:div w:id="903417819">
          <w:marLeft w:val="0"/>
          <w:marRight w:val="0"/>
          <w:marTop w:val="0"/>
          <w:marBottom w:val="0"/>
          <w:divBdr>
            <w:top w:val="none" w:sz="0" w:space="0" w:color="auto"/>
            <w:left w:val="none" w:sz="0" w:space="0" w:color="auto"/>
            <w:bottom w:val="none" w:sz="0" w:space="0" w:color="auto"/>
            <w:right w:val="none" w:sz="0" w:space="0" w:color="auto"/>
          </w:divBdr>
        </w:div>
        <w:div w:id="992026747">
          <w:marLeft w:val="0"/>
          <w:marRight w:val="0"/>
          <w:marTop w:val="0"/>
          <w:marBottom w:val="0"/>
          <w:divBdr>
            <w:top w:val="none" w:sz="0" w:space="0" w:color="auto"/>
            <w:left w:val="none" w:sz="0" w:space="0" w:color="auto"/>
            <w:bottom w:val="none" w:sz="0" w:space="0" w:color="auto"/>
            <w:right w:val="none" w:sz="0" w:space="0" w:color="auto"/>
          </w:divBdr>
        </w:div>
        <w:div w:id="1085955029">
          <w:marLeft w:val="0"/>
          <w:marRight w:val="0"/>
          <w:marTop w:val="0"/>
          <w:marBottom w:val="0"/>
          <w:divBdr>
            <w:top w:val="none" w:sz="0" w:space="0" w:color="auto"/>
            <w:left w:val="none" w:sz="0" w:space="0" w:color="auto"/>
            <w:bottom w:val="none" w:sz="0" w:space="0" w:color="auto"/>
            <w:right w:val="none" w:sz="0" w:space="0" w:color="auto"/>
          </w:divBdr>
        </w:div>
        <w:div w:id="1102648833">
          <w:marLeft w:val="0"/>
          <w:marRight w:val="0"/>
          <w:marTop w:val="0"/>
          <w:marBottom w:val="0"/>
          <w:divBdr>
            <w:top w:val="none" w:sz="0" w:space="0" w:color="auto"/>
            <w:left w:val="none" w:sz="0" w:space="0" w:color="auto"/>
            <w:bottom w:val="none" w:sz="0" w:space="0" w:color="auto"/>
            <w:right w:val="none" w:sz="0" w:space="0" w:color="auto"/>
          </w:divBdr>
        </w:div>
        <w:div w:id="1603144649">
          <w:marLeft w:val="0"/>
          <w:marRight w:val="0"/>
          <w:marTop w:val="0"/>
          <w:marBottom w:val="0"/>
          <w:divBdr>
            <w:top w:val="none" w:sz="0" w:space="0" w:color="auto"/>
            <w:left w:val="none" w:sz="0" w:space="0" w:color="auto"/>
            <w:bottom w:val="none" w:sz="0" w:space="0" w:color="auto"/>
            <w:right w:val="none" w:sz="0" w:space="0" w:color="auto"/>
          </w:divBdr>
        </w:div>
        <w:div w:id="1773278310">
          <w:marLeft w:val="0"/>
          <w:marRight w:val="0"/>
          <w:marTop w:val="0"/>
          <w:marBottom w:val="0"/>
          <w:divBdr>
            <w:top w:val="none" w:sz="0" w:space="0" w:color="auto"/>
            <w:left w:val="none" w:sz="0" w:space="0" w:color="auto"/>
            <w:bottom w:val="none" w:sz="0" w:space="0" w:color="auto"/>
            <w:right w:val="none" w:sz="0" w:space="0" w:color="auto"/>
          </w:divBdr>
        </w:div>
      </w:divsChild>
    </w:div>
    <w:div w:id="1256863497">
      <w:bodyDiv w:val="1"/>
      <w:marLeft w:val="0"/>
      <w:marRight w:val="0"/>
      <w:marTop w:val="0"/>
      <w:marBottom w:val="0"/>
      <w:divBdr>
        <w:top w:val="none" w:sz="0" w:space="0" w:color="auto"/>
        <w:left w:val="none" w:sz="0" w:space="0" w:color="auto"/>
        <w:bottom w:val="none" w:sz="0" w:space="0" w:color="auto"/>
        <w:right w:val="none" w:sz="0" w:space="0" w:color="auto"/>
      </w:divBdr>
    </w:div>
    <w:div w:id="1276450714">
      <w:bodyDiv w:val="1"/>
      <w:marLeft w:val="0"/>
      <w:marRight w:val="0"/>
      <w:marTop w:val="0"/>
      <w:marBottom w:val="0"/>
      <w:divBdr>
        <w:top w:val="none" w:sz="0" w:space="0" w:color="auto"/>
        <w:left w:val="none" w:sz="0" w:space="0" w:color="auto"/>
        <w:bottom w:val="none" w:sz="0" w:space="0" w:color="auto"/>
        <w:right w:val="none" w:sz="0" w:space="0" w:color="auto"/>
      </w:divBdr>
    </w:div>
    <w:div w:id="1302539946">
      <w:bodyDiv w:val="1"/>
      <w:marLeft w:val="0"/>
      <w:marRight w:val="0"/>
      <w:marTop w:val="0"/>
      <w:marBottom w:val="0"/>
      <w:divBdr>
        <w:top w:val="none" w:sz="0" w:space="0" w:color="auto"/>
        <w:left w:val="none" w:sz="0" w:space="0" w:color="auto"/>
        <w:bottom w:val="none" w:sz="0" w:space="0" w:color="auto"/>
        <w:right w:val="none" w:sz="0" w:space="0" w:color="auto"/>
      </w:divBdr>
      <w:divsChild>
        <w:div w:id="18288238">
          <w:marLeft w:val="0"/>
          <w:marRight w:val="0"/>
          <w:marTop w:val="0"/>
          <w:marBottom w:val="0"/>
          <w:divBdr>
            <w:top w:val="none" w:sz="0" w:space="0" w:color="auto"/>
            <w:left w:val="none" w:sz="0" w:space="0" w:color="auto"/>
            <w:bottom w:val="none" w:sz="0" w:space="0" w:color="auto"/>
            <w:right w:val="none" w:sz="0" w:space="0" w:color="auto"/>
          </w:divBdr>
        </w:div>
        <w:div w:id="177089533">
          <w:marLeft w:val="0"/>
          <w:marRight w:val="0"/>
          <w:marTop w:val="0"/>
          <w:marBottom w:val="0"/>
          <w:divBdr>
            <w:top w:val="none" w:sz="0" w:space="0" w:color="auto"/>
            <w:left w:val="none" w:sz="0" w:space="0" w:color="auto"/>
            <w:bottom w:val="none" w:sz="0" w:space="0" w:color="auto"/>
            <w:right w:val="none" w:sz="0" w:space="0" w:color="auto"/>
          </w:divBdr>
        </w:div>
        <w:div w:id="214781294">
          <w:marLeft w:val="0"/>
          <w:marRight w:val="0"/>
          <w:marTop w:val="0"/>
          <w:marBottom w:val="0"/>
          <w:divBdr>
            <w:top w:val="none" w:sz="0" w:space="0" w:color="auto"/>
            <w:left w:val="none" w:sz="0" w:space="0" w:color="auto"/>
            <w:bottom w:val="none" w:sz="0" w:space="0" w:color="auto"/>
            <w:right w:val="none" w:sz="0" w:space="0" w:color="auto"/>
          </w:divBdr>
        </w:div>
        <w:div w:id="270934634">
          <w:marLeft w:val="0"/>
          <w:marRight w:val="0"/>
          <w:marTop w:val="0"/>
          <w:marBottom w:val="0"/>
          <w:divBdr>
            <w:top w:val="none" w:sz="0" w:space="0" w:color="auto"/>
            <w:left w:val="none" w:sz="0" w:space="0" w:color="auto"/>
            <w:bottom w:val="none" w:sz="0" w:space="0" w:color="auto"/>
            <w:right w:val="none" w:sz="0" w:space="0" w:color="auto"/>
          </w:divBdr>
        </w:div>
        <w:div w:id="301036069">
          <w:marLeft w:val="0"/>
          <w:marRight w:val="0"/>
          <w:marTop w:val="0"/>
          <w:marBottom w:val="0"/>
          <w:divBdr>
            <w:top w:val="none" w:sz="0" w:space="0" w:color="auto"/>
            <w:left w:val="none" w:sz="0" w:space="0" w:color="auto"/>
            <w:bottom w:val="none" w:sz="0" w:space="0" w:color="auto"/>
            <w:right w:val="none" w:sz="0" w:space="0" w:color="auto"/>
          </w:divBdr>
        </w:div>
        <w:div w:id="409695098">
          <w:marLeft w:val="0"/>
          <w:marRight w:val="0"/>
          <w:marTop w:val="0"/>
          <w:marBottom w:val="0"/>
          <w:divBdr>
            <w:top w:val="none" w:sz="0" w:space="0" w:color="auto"/>
            <w:left w:val="none" w:sz="0" w:space="0" w:color="auto"/>
            <w:bottom w:val="none" w:sz="0" w:space="0" w:color="auto"/>
            <w:right w:val="none" w:sz="0" w:space="0" w:color="auto"/>
          </w:divBdr>
        </w:div>
        <w:div w:id="425538680">
          <w:marLeft w:val="0"/>
          <w:marRight w:val="0"/>
          <w:marTop w:val="0"/>
          <w:marBottom w:val="0"/>
          <w:divBdr>
            <w:top w:val="none" w:sz="0" w:space="0" w:color="auto"/>
            <w:left w:val="none" w:sz="0" w:space="0" w:color="auto"/>
            <w:bottom w:val="none" w:sz="0" w:space="0" w:color="auto"/>
            <w:right w:val="none" w:sz="0" w:space="0" w:color="auto"/>
          </w:divBdr>
        </w:div>
        <w:div w:id="553663670">
          <w:marLeft w:val="0"/>
          <w:marRight w:val="0"/>
          <w:marTop w:val="0"/>
          <w:marBottom w:val="0"/>
          <w:divBdr>
            <w:top w:val="none" w:sz="0" w:space="0" w:color="auto"/>
            <w:left w:val="none" w:sz="0" w:space="0" w:color="auto"/>
            <w:bottom w:val="none" w:sz="0" w:space="0" w:color="auto"/>
            <w:right w:val="none" w:sz="0" w:space="0" w:color="auto"/>
          </w:divBdr>
        </w:div>
        <w:div w:id="688408913">
          <w:marLeft w:val="0"/>
          <w:marRight w:val="0"/>
          <w:marTop w:val="0"/>
          <w:marBottom w:val="0"/>
          <w:divBdr>
            <w:top w:val="none" w:sz="0" w:space="0" w:color="auto"/>
            <w:left w:val="none" w:sz="0" w:space="0" w:color="auto"/>
            <w:bottom w:val="none" w:sz="0" w:space="0" w:color="auto"/>
            <w:right w:val="none" w:sz="0" w:space="0" w:color="auto"/>
          </w:divBdr>
        </w:div>
        <w:div w:id="737822365">
          <w:marLeft w:val="0"/>
          <w:marRight w:val="0"/>
          <w:marTop w:val="0"/>
          <w:marBottom w:val="0"/>
          <w:divBdr>
            <w:top w:val="none" w:sz="0" w:space="0" w:color="auto"/>
            <w:left w:val="none" w:sz="0" w:space="0" w:color="auto"/>
            <w:bottom w:val="none" w:sz="0" w:space="0" w:color="auto"/>
            <w:right w:val="none" w:sz="0" w:space="0" w:color="auto"/>
          </w:divBdr>
        </w:div>
        <w:div w:id="820730989">
          <w:marLeft w:val="0"/>
          <w:marRight w:val="0"/>
          <w:marTop w:val="0"/>
          <w:marBottom w:val="0"/>
          <w:divBdr>
            <w:top w:val="none" w:sz="0" w:space="0" w:color="auto"/>
            <w:left w:val="none" w:sz="0" w:space="0" w:color="auto"/>
            <w:bottom w:val="none" w:sz="0" w:space="0" w:color="auto"/>
            <w:right w:val="none" w:sz="0" w:space="0" w:color="auto"/>
          </w:divBdr>
        </w:div>
        <w:div w:id="897547481">
          <w:marLeft w:val="0"/>
          <w:marRight w:val="0"/>
          <w:marTop w:val="0"/>
          <w:marBottom w:val="0"/>
          <w:divBdr>
            <w:top w:val="none" w:sz="0" w:space="0" w:color="auto"/>
            <w:left w:val="none" w:sz="0" w:space="0" w:color="auto"/>
            <w:bottom w:val="none" w:sz="0" w:space="0" w:color="auto"/>
            <w:right w:val="none" w:sz="0" w:space="0" w:color="auto"/>
          </w:divBdr>
        </w:div>
        <w:div w:id="977877788">
          <w:marLeft w:val="0"/>
          <w:marRight w:val="0"/>
          <w:marTop w:val="0"/>
          <w:marBottom w:val="0"/>
          <w:divBdr>
            <w:top w:val="none" w:sz="0" w:space="0" w:color="auto"/>
            <w:left w:val="none" w:sz="0" w:space="0" w:color="auto"/>
            <w:bottom w:val="none" w:sz="0" w:space="0" w:color="auto"/>
            <w:right w:val="none" w:sz="0" w:space="0" w:color="auto"/>
          </w:divBdr>
        </w:div>
        <w:div w:id="1080521677">
          <w:marLeft w:val="0"/>
          <w:marRight w:val="0"/>
          <w:marTop w:val="0"/>
          <w:marBottom w:val="0"/>
          <w:divBdr>
            <w:top w:val="none" w:sz="0" w:space="0" w:color="auto"/>
            <w:left w:val="none" w:sz="0" w:space="0" w:color="auto"/>
            <w:bottom w:val="none" w:sz="0" w:space="0" w:color="auto"/>
            <w:right w:val="none" w:sz="0" w:space="0" w:color="auto"/>
          </w:divBdr>
        </w:div>
        <w:div w:id="1124352445">
          <w:marLeft w:val="0"/>
          <w:marRight w:val="0"/>
          <w:marTop w:val="0"/>
          <w:marBottom w:val="0"/>
          <w:divBdr>
            <w:top w:val="none" w:sz="0" w:space="0" w:color="auto"/>
            <w:left w:val="none" w:sz="0" w:space="0" w:color="auto"/>
            <w:bottom w:val="none" w:sz="0" w:space="0" w:color="auto"/>
            <w:right w:val="none" w:sz="0" w:space="0" w:color="auto"/>
          </w:divBdr>
        </w:div>
        <w:div w:id="1222212210">
          <w:marLeft w:val="0"/>
          <w:marRight w:val="0"/>
          <w:marTop w:val="0"/>
          <w:marBottom w:val="0"/>
          <w:divBdr>
            <w:top w:val="none" w:sz="0" w:space="0" w:color="auto"/>
            <w:left w:val="none" w:sz="0" w:space="0" w:color="auto"/>
            <w:bottom w:val="none" w:sz="0" w:space="0" w:color="auto"/>
            <w:right w:val="none" w:sz="0" w:space="0" w:color="auto"/>
          </w:divBdr>
        </w:div>
        <w:div w:id="1260139153">
          <w:marLeft w:val="0"/>
          <w:marRight w:val="0"/>
          <w:marTop w:val="0"/>
          <w:marBottom w:val="0"/>
          <w:divBdr>
            <w:top w:val="none" w:sz="0" w:space="0" w:color="auto"/>
            <w:left w:val="none" w:sz="0" w:space="0" w:color="auto"/>
            <w:bottom w:val="none" w:sz="0" w:space="0" w:color="auto"/>
            <w:right w:val="none" w:sz="0" w:space="0" w:color="auto"/>
          </w:divBdr>
        </w:div>
        <w:div w:id="1348827059">
          <w:marLeft w:val="0"/>
          <w:marRight w:val="0"/>
          <w:marTop w:val="0"/>
          <w:marBottom w:val="0"/>
          <w:divBdr>
            <w:top w:val="none" w:sz="0" w:space="0" w:color="auto"/>
            <w:left w:val="none" w:sz="0" w:space="0" w:color="auto"/>
            <w:bottom w:val="none" w:sz="0" w:space="0" w:color="auto"/>
            <w:right w:val="none" w:sz="0" w:space="0" w:color="auto"/>
          </w:divBdr>
        </w:div>
        <w:div w:id="1400248875">
          <w:marLeft w:val="0"/>
          <w:marRight w:val="0"/>
          <w:marTop w:val="0"/>
          <w:marBottom w:val="0"/>
          <w:divBdr>
            <w:top w:val="none" w:sz="0" w:space="0" w:color="auto"/>
            <w:left w:val="none" w:sz="0" w:space="0" w:color="auto"/>
            <w:bottom w:val="none" w:sz="0" w:space="0" w:color="auto"/>
            <w:right w:val="none" w:sz="0" w:space="0" w:color="auto"/>
          </w:divBdr>
        </w:div>
        <w:div w:id="1763989503">
          <w:marLeft w:val="0"/>
          <w:marRight w:val="0"/>
          <w:marTop w:val="0"/>
          <w:marBottom w:val="0"/>
          <w:divBdr>
            <w:top w:val="none" w:sz="0" w:space="0" w:color="auto"/>
            <w:left w:val="none" w:sz="0" w:space="0" w:color="auto"/>
            <w:bottom w:val="none" w:sz="0" w:space="0" w:color="auto"/>
            <w:right w:val="none" w:sz="0" w:space="0" w:color="auto"/>
          </w:divBdr>
        </w:div>
        <w:div w:id="1803890380">
          <w:marLeft w:val="0"/>
          <w:marRight w:val="0"/>
          <w:marTop w:val="0"/>
          <w:marBottom w:val="0"/>
          <w:divBdr>
            <w:top w:val="none" w:sz="0" w:space="0" w:color="auto"/>
            <w:left w:val="none" w:sz="0" w:space="0" w:color="auto"/>
            <w:bottom w:val="none" w:sz="0" w:space="0" w:color="auto"/>
            <w:right w:val="none" w:sz="0" w:space="0" w:color="auto"/>
          </w:divBdr>
        </w:div>
        <w:div w:id="1867788276">
          <w:marLeft w:val="0"/>
          <w:marRight w:val="0"/>
          <w:marTop w:val="0"/>
          <w:marBottom w:val="0"/>
          <w:divBdr>
            <w:top w:val="none" w:sz="0" w:space="0" w:color="auto"/>
            <w:left w:val="none" w:sz="0" w:space="0" w:color="auto"/>
            <w:bottom w:val="none" w:sz="0" w:space="0" w:color="auto"/>
            <w:right w:val="none" w:sz="0" w:space="0" w:color="auto"/>
          </w:divBdr>
        </w:div>
        <w:div w:id="2075614292">
          <w:marLeft w:val="0"/>
          <w:marRight w:val="0"/>
          <w:marTop w:val="0"/>
          <w:marBottom w:val="0"/>
          <w:divBdr>
            <w:top w:val="none" w:sz="0" w:space="0" w:color="auto"/>
            <w:left w:val="none" w:sz="0" w:space="0" w:color="auto"/>
            <w:bottom w:val="none" w:sz="0" w:space="0" w:color="auto"/>
            <w:right w:val="none" w:sz="0" w:space="0" w:color="auto"/>
          </w:divBdr>
        </w:div>
        <w:div w:id="2141655037">
          <w:marLeft w:val="0"/>
          <w:marRight w:val="0"/>
          <w:marTop w:val="0"/>
          <w:marBottom w:val="0"/>
          <w:divBdr>
            <w:top w:val="none" w:sz="0" w:space="0" w:color="auto"/>
            <w:left w:val="none" w:sz="0" w:space="0" w:color="auto"/>
            <w:bottom w:val="none" w:sz="0" w:space="0" w:color="auto"/>
            <w:right w:val="none" w:sz="0" w:space="0" w:color="auto"/>
          </w:divBdr>
        </w:div>
        <w:div w:id="2145536688">
          <w:marLeft w:val="0"/>
          <w:marRight w:val="0"/>
          <w:marTop w:val="0"/>
          <w:marBottom w:val="0"/>
          <w:divBdr>
            <w:top w:val="none" w:sz="0" w:space="0" w:color="auto"/>
            <w:left w:val="none" w:sz="0" w:space="0" w:color="auto"/>
            <w:bottom w:val="none" w:sz="0" w:space="0" w:color="auto"/>
            <w:right w:val="none" w:sz="0" w:space="0" w:color="auto"/>
          </w:divBdr>
        </w:div>
      </w:divsChild>
    </w:div>
    <w:div w:id="1302927426">
      <w:bodyDiv w:val="1"/>
      <w:marLeft w:val="0"/>
      <w:marRight w:val="0"/>
      <w:marTop w:val="0"/>
      <w:marBottom w:val="0"/>
      <w:divBdr>
        <w:top w:val="none" w:sz="0" w:space="0" w:color="auto"/>
        <w:left w:val="none" w:sz="0" w:space="0" w:color="auto"/>
        <w:bottom w:val="none" w:sz="0" w:space="0" w:color="auto"/>
        <w:right w:val="none" w:sz="0" w:space="0" w:color="auto"/>
      </w:divBdr>
    </w:div>
    <w:div w:id="1303778880">
      <w:bodyDiv w:val="1"/>
      <w:marLeft w:val="0"/>
      <w:marRight w:val="0"/>
      <w:marTop w:val="0"/>
      <w:marBottom w:val="0"/>
      <w:divBdr>
        <w:top w:val="none" w:sz="0" w:space="0" w:color="auto"/>
        <w:left w:val="none" w:sz="0" w:space="0" w:color="auto"/>
        <w:bottom w:val="none" w:sz="0" w:space="0" w:color="auto"/>
        <w:right w:val="none" w:sz="0" w:space="0" w:color="auto"/>
      </w:divBdr>
    </w:div>
    <w:div w:id="1355378707">
      <w:bodyDiv w:val="1"/>
      <w:marLeft w:val="0"/>
      <w:marRight w:val="0"/>
      <w:marTop w:val="0"/>
      <w:marBottom w:val="0"/>
      <w:divBdr>
        <w:top w:val="none" w:sz="0" w:space="0" w:color="auto"/>
        <w:left w:val="none" w:sz="0" w:space="0" w:color="auto"/>
        <w:bottom w:val="none" w:sz="0" w:space="0" w:color="auto"/>
        <w:right w:val="none" w:sz="0" w:space="0" w:color="auto"/>
      </w:divBdr>
    </w:div>
    <w:div w:id="1386760674">
      <w:bodyDiv w:val="1"/>
      <w:marLeft w:val="0"/>
      <w:marRight w:val="0"/>
      <w:marTop w:val="0"/>
      <w:marBottom w:val="0"/>
      <w:divBdr>
        <w:top w:val="none" w:sz="0" w:space="0" w:color="auto"/>
        <w:left w:val="none" w:sz="0" w:space="0" w:color="auto"/>
        <w:bottom w:val="none" w:sz="0" w:space="0" w:color="auto"/>
        <w:right w:val="none" w:sz="0" w:space="0" w:color="auto"/>
      </w:divBdr>
    </w:div>
    <w:div w:id="1435709770">
      <w:bodyDiv w:val="1"/>
      <w:marLeft w:val="0"/>
      <w:marRight w:val="0"/>
      <w:marTop w:val="0"/>
      <w:marBottom w:val="0"/>
      <w:divBdr>
        <w:top w:val="none" w:sz="0" w:space="0" w:color="auto"/>
        <w:left w:val="none" w:sz="0" w:space="0" w:color="auto"/>
        <w:bottom w:val="none" w:sz="0" w:space="0" w:color="auto"/>
        <w:right w:val="none" w:sz="0" w:space="0" w:color="auto"/>
      </w:divBdr>
    </w:div>
    <w:div w:id="1436366462">
      <w:bodyDiv w:val="1"/>
      <w:marLeft w:val="0"/>
      <w:marRight w:val="0"/>
      <w:marTop w:val="0"/>
      <w:marBottom w:val="0"/>
      <w:divBdr>
        <w:top w:val="none" w:sz="0" w:space="0" w:color="auto"/>
        <w:left w:val="none" w:sz="0" w:space="0" w:color="auto"/>
        <w:bottom w:val="none" w:sz="0" w:space="0" w:color="auto"/>
        <w:right w:val="none" w:sz="0" w:space="0" w:color="auto"/>
      </w:divBdr>
    </w:div>
    <w:div w:id="1440642211">
      <w:bodyDiv w:val="1"/>
      <w:marLeft w:val="0"/>
      <w:marRight w:val="0"/>
      <w:marTop w:val="0"/>
      <w:marBottom w:val="0"/>
      <w:divBdr>
        <w:top w:val="none" w:sz="0" w:space="0" w:color="auto"/>
        <w:left w:val="none" w:sz="0" w:space="0" w:color="auto"/>
        <w:bottom w:val="none" w:sz="0" w:space="0" w:color="auto"/>
        <w:right w:val="none" w:sz="0" w:space="0" w:color="auto"/>
      </w:divBdr>
    </w:div>
    <w:div w:id="1475024442">
      <w:bodyDiv w:val="1"/>
      <w:marLeft w:val="0"/>
      <w:marRight w:val="0"/>
      <w:marTop w:val="0"/>
      <w:marBottom w:val="0"/>
      <w:divBdr>
        <w:top w:val="none" w:sz="0" w:space="0" w:color="auto"/>
        <w:left w:val="none" w:sz="0" w:space="0" w:color="auto"/>
        <w:bottom w:val="none" w:sz="0" w:space="0" w:color="auto"/>
        <w:right w:val="none" w:sz="0" w:space="0" w:color="auto"/>
      </w:divBdr>
    </w:div>
    <w:div w:id="1526558742">
      <w:bodyDiv w:val="1"/>
      <w:marLeft w:val="0"/>
      <w:marRight w:val="0"/>
      <w:marTop w:val="0"/>
      <w:marBottom w:val="0"/>
      <w:divBdr>
        <w:top w:val="none" w:sz="0" w:space="0" w:color="auto"/>
        <w:left w:val="none" w:sz="0" w:space="0" w:color="auto"/>
        <w:bottom w:val="none" w:sz="0" w:space="0" w:color="auto"/>
        <w:right w:val="none" w:sz="0" w:space="0" w:color="auto"/>
      </w:divBdr>
    </w:div>
    <w:div w:id="1527476133">
      <w:bodyDiv w:val="1"/>
      <w:marLeft w:val="0"/>
      <w:marRight w:val="0"/>
      <w:marTop w:val="0"/>
      <w:marBottom w:val="0"/>
      <w:divBdr>
        <w:top w:val="none" w:sz="0" w:space="0" w:color="auto"/>
        <w:left w:val="none" w:sz="0" w:space="0" w:color="auto"/>
        <w:bottom w:val="none" w:sz="0" w:space="0" w:color="auto"/>
        <w:right w:val="none" w:sz="0" w:space="0" w:color="auto"/>
      </w:divBdr>
    </w:div>
    <w:div w:id="1542936135">
      <w:bodyDiv w:val="1"/>
      <w:marLeft w:val="0"/>
      <w:marRight w:val="0"/>
      <w:marTop w:val="0"/>
      <w:marBottom w:val="0"/>
      <w:divBdr>
        <w:top w:val="none" w:sz="0" w:space="0" w:color="auto"/>
        <w:left w:val="none" w:sz="0" w:space="0" w:color="auto"/>
        <w:bottom w:val="none" w:sz="0" w:space="0" w:color="auto"/>
        <w:right w:val="none" w:sz="0" w:space="0" w:color="auto"/>
      </w:divBdr>
    </w:div>
    <w:div w:id="1545022717">
      <w:bodyDiv w:val="1"/>
      <w:marLeft w:val="0"/>
      <w:marRight w:val="0"/>
      <w:marTop w:val="0"/>
      <w:marBottom w:val="0"/>
      <w:divBdr>
        <w:top w:val="none" w:sz="0" w:space="0" w:color="auto"/>
        <w:left w:val="none" w:sz="0" w:space="0" w:color="auto"/>
        <w:bottom w:val="none" w:sz="0" w:space="0" w:color="auto"/>
        <w:right w:val="none" w:sz="0" w:space="0" w:color="auto"/>
      </w:divBdr>
      <w:divsChild>
        <w:div w:id="235093082">
          <w:marLeft w:val="0"/>
          <w:marRight w:val="0"/>
          <w:marTop w:val="0"/>
          <w:marBottom w:val="0"/>
          <w:divBdr>
            <w:top w:val="none" w:sz="0" w:space="0" w:color="auto"/>
            <w:left w:val="none" w:sz="0" w:space="0" w:color="auto"/>
            <w:bottom w:val="none" w:sz="0" w:space="0" w:color="auto"/>
            <w:right w:val="none" w:sz="0" w:space="0" w:color="auto"/>
          </w:divBdr>
        </w:div>
        <w:div w:id="830750633">
          <w:marLeft w:val="0"/>
          <w:marRight w:val="0"/>
          <w:marTop w:val="0"/>
          <w:marBottom w:val="0"/>
          <w:divBdr>
            <w:top w:val="none" w:sz="0" w:space="0" w:color="auto"/>
            <w:left w:val="none" w:sz="0" w:space="0" w:color="auto"/>
            <w:bottom w:val="none" w:sz="0" w:space="0" w:color="auto"/>
            <w:right w:val="none" w:sz="0" w:space="0" w:color="auto"/>
          </w:divBdr>
        </w:div>
        <w:div w:id="1083600350">
          <w:marLeft w:val="0"/>
          <w:marRight w:val="0"/>
          <w:marTop w:val="0"/>
          <w:marBottom w:val="0"/>
          <w:divBdr>
            <w:top w:val="none" w:sz="0" w:space="0" w:color="auto"/>
            <w:left w:val="none" w:sz="0" w:space="0" w:color="auto"/>
            <w:bottom w:val="none" w:sz="0" w:space="0" w:color="auto"/>
            <w:right w:val="none" w:sz="0" w:space="0" w:color="auto"/>
          </w:divBdr>
        </w:div>
        <w:div w:id="1340278552">
          <w:marLeft w:val="0"/>
          <w:marRight w:val="0"/>
          <w:marTop w:val="0"/>
          <w:marBottom w:val="0"/>
          <w:divBdr>
            <w:top w:val="none" w:sz="0" w:space="0" w:color="auto"/>
            <w:left w:val="none" w:sz="0" w:space="0" w:color="auto"/>
            <w:bottom w:val="none" w:sz="0" w:space="0" w:color="auto"/>
            <w:right w:val="none" w:sz="0" w:space="0" w:color="auto"/>
          </w:divBdr>
        </w:div>
        <w:div w:id="1588541652">
          <w:marLeft w:val="0"/>
          <w:marRight w:val="0"/>
          <w:marTop w:val="0"/>
          <w:marBottom w:val="0"/>
          <w:divBdr>
            <w:top w:val="none" w:sz="0" w:space="0" w:color="auto"/>
            <w:left w:val="none" w:sz="0" w:space="0" w:color="auto"/>
            <w:bottom w:val="none" w:sz="0" w:space="0" w:color="auto"/>
            <w:right w:val="none" w:sz="0" w:space="0" w:color="auto"/>
          </w:divBdr>
        </w:div>
      </w:divsChild>
    </w:div>
    <w:div w:id="1575430516">
      <w:bodyDiv w:val="1"/>
      <w:marLeft w:val="0"/>
      <w:marRight w:val="0"/>
      <w:marTop w:val="0"/>
      <w:marBottom w:val="0"/>
      <w:divBdr>
        <w:top w:val="none" w:sz="0" w:space="0" w:color="auto"/>
        <w:left w:val="none" w:sz="0" w:space="0" w:color="auto"/>
        <w:bottom w:val="none" w:sz="0" w:space="0" w:color="auto"/>
        <w:right w:val="none" w:sz="0" w:space="0" w:color="auto"/>
      </w:divBdr>
    </w:div>
    <w:div w:id="1584872343">
      <w:bodyDiv w:val="1"/>
      <w:marLeft w:val="0"/>
      <w:marRight w:val="0"/>
      <w:marTop w:val="0"/>
      <w:marBottom w:val="0"/>
      <w:divBdr>
        <w:top w:val="none" w:sz="0" w:space="0" w:color="auto"/>
        <w:left w:val="none" w:sz="0" w:space="0" w:color="auto"/>
        <w:bottom w:val="none" w:sz="0" w:space="0" w:color="auto"/>
        <w:right w:val="none" w:sz="0" w:space="0" w:color="auto"/>
      </w:divBdr>
      <w:divsChild>
        <w:div w:id="99226822">
          <w:marLeft w:val="0"/>
          <w:marRight w:val="0"/>
          <w:marTop w:val="0"/>
          <w:marBottom w:val="0"/>
          <w:divBdr>
            <w:top w:val="none" w:sz="0" w:space="0" w:color="auto"/>
            <w:left w:val="none" w:sz="0" w:space="0" w:color="auto"/>
            <w:bottom w:val="none" w:sz="0" w:space="0" w:color="auto"/>
            <w:right w:val="none" w:sz="0" w:space="0" w:color="auto"/>
          </w:divBdr>
        </w:div>
        <w:div w:id="157428031">
          <w:marLeft w:val="0"/>
          <w:marRight w:val="0"/>
          <w:marTop w:val="0"/>
          <w:marBottom w:val="0"/>
          <w:divBdr>
            <w:top w:val="none" w:sz="0" w:space="0" w:color="auto"/>
            <w:left w:val="none" w:sz="0" w:space="0" w:color="auto"/>
            <w:bottom w:val="none" w:sz="0" w:space="0" w:color="auto"/>
            <w:right w:val="none" w:sz="0" w:space="0" w:color="auto"/>
          </w:divBdr>
        </w:div>
        <w:div w:id="317922520">
          <w:marLeft w:val="0"/>
          <w:marRight w:val="0"/>
          <w:marTop w:val="0"/>
          <w:marBottom w:val="0"/>
          <w:divBdr>
            <w:top w:val="none" w:sz="0" w:space="0" w:color="auto"/>
            <w:left w:val="none" w:sz="0" w:space="0" w:color="auto"/>
            <w:bottom w:val="none" w:sz="0" w:space="0" w:color="auto"/>
            <w:right w:val="none" w:sz="0" w:space="0" w:color="auto"/>
          </w:divBdr>
        </w:div>
        <w:div w:id="541140225">
          <w:marLeft w:val="0"/>
          <w:marRight w:val="0"/>
          <w:marTop w:val="0"/>
          <w:marBottom w:val="0"/>
          <w:divBdr>
            <w:top w:val="none" w:sz="0" w:space="0" w:color="auto"/>
            <w:left w:val="none" w:sz="0" w:space="0" w:color="auto"/>
            <w:bottom w:val="none" w:sz="0" w:space="0" w:color="auto"/>
            <w:right w:val="none" w:sz="0" w:space="0" w:color="auto"/>
          </w:divBdr>
        </w:div>
        <w:div w:id="658315154">
          <w:marLeft w:val="0"/>
          <w:marRight w:val="0"/>
          <w:marTop w:val="0"/>
          <w:marBottom w:val="0"/>
          <w:divBdr>
            <w:top w:val="none" w:sz="0" w:space="0" w:color="auto"/>
            <w:left w:val="none" w:sz="0" w:space="0" w:color="auto"/>
            <w:bottom w:val="none" w:sz="0" w:space="0" w:color="auto"/>
            <w:right w:val="none" w:sz="0" w:space="0" w:color="auto"/>
          </w:divBdr>
        </w:div>
        <w:div w:id="750396943">
          <w:marLeft w:val="0"/>
          <w:marRight w:val="0"/>
          <w:marTop w:val="0"/>
          <w:marBottom w:val="0"/>
          <w:divBdr>
            <w:top w:val="none" w:sz="0" w:space="0" w:color="auto"/>
            <w:left w:val="none" w:sz="0" w:space="0" w:color="auto"/>
            <w:bottom w:val="none" w:sz="0" w:space="0" w:color="auto"/>
            <w:right w:val="none" w:sz="0" w:space="0" w:color="auto"/>
          </w:divBdr>
        </w:div>
        <w:div w:id="932469536">
          <w:marLeft w:val="0"/>
          <w:marRight w:val="0"/>
          <w:marTop w:val="0"/>
          <w:marBottom w:val="0"/>
          <w:divBdr>
            <w:top w:val="none" w:sz="0" w:space="0" w:color="auto"/>
            <w:left w:val="none" w:sz="0" w:space="0" w:color="auto"/>
            <w:bottom w:val="none" w:sz="0" w:space="0" w:color="auto"/>
            <w:right w:val="none" w:sz="0" w:space="0" w:color="auto"/>
          </w:divBdr>
        </w:div>
        <w:div w:id="1263949213">
          <w:marLeft w:val="0"/>
          <w:marRight w:val="0"/>
          <w:marTop w:val="0"/>
          <w:marBottom w:val="0"/>
          <w:divBdr>
            <w:top w:val="none" w:sz="0" w:space="0" w:color="auto"/>
            <w:left w:val="none" w:sz="0" w:space="0" w:color="auto"/>
            <w:bottom w:val="none" w:sz="0" w:space="0" w:color="auto"/>
            <w:right w:val="none" w:sz="0" w:space="0" w:color="auto"/>
          </w:divBdr>
        </w:div>
      </w:divsChild>
    </w:div>
    <w:div w:id="1590768247">
      <w:bodyDiv w:val="1"/>
      <w:marLeft w:val="0"/>
      <w:marRight w:val="0"/>
      <w:marTop w:val="0"/>
      <w:marBottom w:val="0"/>
      <w:divBdr>
        <w:top w:val="none" w:sz="0" w:space="0" w:color="auto"/>
        <w:left w:val="none" w:sz="0" w:space="0" w:color="auto"/>
        <w:bottom w:val="none" w:sz="0" w:space="0" w:color="auto"/>
        <w:right w:val="none" w:sz="0" w:space="0" w:color="auto"/>
      </w:divBdr>
      <w:divsChild>
        <w:div w:id="6952918">
          <w:marLeft w:val="0"/>
          <w:marRight w:val="0"/>
          <w:marTop w:val="0"/>
          <w:marBottom w:val="0"/>
          <w:divBdr>
            <w:top w:val="none" w:sz="0" w:space="0" w:color="auto"/>
            <w:left w:val="none" w:sz="0" w:space="0" w:color="auto"/>
            <w:bottom w:val="none" w:sz="0" w:space="0" w:color="auto"/>
            <w:right w:val="none" w:sz="0" w:space="0" w:color="auto"/>
          </w:divBdr>
        </w:div>
        <w:div w:id="74665281">
          <w:marLeft w:val="0"/>
          <w:marRight w:val="0"/>
          <w:marTop w:val="0"/>
          <w:marBottom w:val="0"/>
          <w:divBdr>
            <w:top w:val="none" w:sz="0" w:space="0" w:color="auto"/>
            <w:left w:val="none" w:sz="0" w:space="0" w:color="auto"/>
            <w:bottom w:val="none" w:sz="0" w:space="0" w:color="auto"/>
            <w:right w:val="none" w:sz="0" w:space="0" w:color="auto"/>
          </w:divBdr>
        </w:div>
        <w:div w:id="77020111">
          <w:marLeft w:val="0"/>
          <w:marRight w:val="0"/>
          <w:marTop w:val="0"/>
          <w:marBottom w:val="0"/>
          <w:divBdr>
            <w:top w:val="none" w:sz="0" w:space="0" w:color="auto"/>
            <w:left w:val="none" w:sz="0" w:space="0" w:color="auto"/>
            <w:bottom w:val="none" w:sz="0" w:space="0" w:color="auto"/>
            <w:right w:val="none" w:sz="0" w:space="0" w:color="auto"/>
          </w:divBdr>
        </w:div>
        <w:div w:id="135069803">
          <w:marLeft w:val="0"/>
          <w:marRight w:val="0"/>
          <w:marTop w:val="0"/>
          <w:marBottom w:val="0"/>
          <w:divBdr>
            <w:top w:val="none" w:sz="0" w:space="0" w:color="auto"/>
            <w:left w:val="none" w:sz="0" w:space="0" w:color="auto"/>
            <w:bottom w:val="none" w:sz="0" w:space="0" w:color="auto"/>
            <w:right w:val="none" w:sz="0" w:space="0" w:color="auto"/>
          </w:divBdr>
        </w:div>
        <w:div w:id="143740981">
          <w:marLeft w:val="0"/>
          <w:marRight w:val="0"/>
          <w:marTop w:val="0"/>
          <w:marBottom w:val="0"/>
          <w:divBdr>
            <w:top w:val="none" w:sz="0" w:space="0" w:color="auto"/>
            <w:left w:val="none" w:sz="0" w:space="0" w:color="auto"/>
            <w:bottom w:val="none" w:sz="0" w:space="0" w:color="auto"/>
            <w:right w:val="none" w:sz="0" w:space="0" w:color="auto"/>
          </w:divBdr>
        </w:div>
        <w:div w:id="182523640">
          <w:marLeft w:val="0"/>
          <w:marRight w:val="0"/>
          <w:marTop w:val="0"/>
          <w:marBottom w:val="0"/>
          <w:divBdr>
            <w:top w:val="none" w:sz="0" w:space="0" w:color="auto"/>
            <w:left w:val="none" w:sz="0" w:space="0" w:color="auto"/>
            <w:bottom w:val="none" w:sz="0" w:space="0" w:color="auto"/>
            <w:right w:val="none" w:sz="0" w:space="0" w:color="auto"/>
          </w:divBdr>
        </w:div>
        <w:div w:id="203639554">
          <w:marLeft w:val="0"/>
          <w:marRight w:val="0"/>
          <w:marTop w:val="0"/>
          <w:marBottom w:val="0"/>
          <w:divBdr>
            <w:top w:val="none" w:sz="0" w:space="0" w:color="auto"/>
            <w:left w:val="none" w:sz="0" w:space="0" w:color="auto"/>
            <w:bottom w:val="none" w:sz="0" w:space="0" w:color="auto"/>
            <w:right w:val="none" w:sz="0" w:space="0" w:color="auto"/>
          </w:divBdr>
        </w:div>
        <w:div w:id="213279420">
          <w:marLeft w:val="0"/>
          <w:marRight w:val="0"/>
          <w:marTop w:val="0"/>
          <w:marBottom w:val="0"/>
          <w:divBdr>
            <w:top w:val="none" w:sz="0" w:space="0" w:color="auto"/>
            <w:left w:val="none" w:sz="0" w:space="0" w:color="auto"/>
            <w:bottom w:val="none" w:sz="0" w:space="0" w:color="auto"/>
            <w:right w:val="none" w:sz="0" w:space="0" w:color="auto"/>
          </w:divBdr>
        </w:div>
        <w:div w:id="278880238">
          <w:marLeft w:val="0"/>
          <w:marRight w:val="0"/>
          <w:marTop w:val="0"/>
          <w:marBottom w:val="0"/>
          <w:divBdr>
            <w:top w:val="none" w:sz="0" w:space="0" w:color="auto"/>
            <w:left w:val="none" w:sz="0" w:space="0" w:color="auto"/>
            <w:bottom w:val="none" w:sz="0" w:space="0" w:color="auto"/>
            <w:right w:val="none" w:sz="0" w:space="0" w:color="auto"/>
          </w:divBdr>
        </w:div>
        <w:div w:id="468471884">
          <w:marLeft w:val="0"/>
          <w:marRight w:val="0"/>
          <w:marTop w:val="0"/>
          <w:marBottom w:val="0"/>
          <w:divBdr>
            <w:top w:val="none" w:sz="0" w:space="0" w:color="auto"/>
            <w:left w:val="none" w:sz="0" w:space="0" w:color="auto"/>
            <w:bottom w:val="none" w:sz="0" w:space="0" w:color="auto"/>
            <w:right w:val="none" w:sz="0" w:space="0" w:color="auto"/>
          </w:divBdr>
        </w:div>
        <w:div w:id="609313389">
          <w:marLeft w:val="0"/>
          <w:marRight w:val="0"/>
          <w:marTop w:val="0"/>
          <w:marBottom w:val="0"/>
          <w:divBdr>
            <w:top w:val="none" w:sz="0" w:space="0" w:color="auto"/>
            <w:left w:val="none" w:sz="0" w:space="0" w:color="auto"/>
            <w:bottom w:val="none" w:sz="0" w:space="0" w:color="auto"/>
            <w:right w:val="none" w:sz="0" w:space="0" w:color="auto"/>
          </w:divBdr>
        </w:div>
        <w:div w:id="681511803">
          <w:marLeft w:val="0"/>
          <w:marRight w:val="0"/>
          <w:marTop w:val="0"/>
          <w:marBottom w:val="0"/>
          <w:divBdr>
            <w:top w:val="none" w:sz="0" w:space="0" w:color="auto"/>
            <w:left w:val="none" w:sz="0" w:space="0" w:color="auto"/>
            <w:bottom w:val="none" w:sz="0" w:space="0" w:color="auto"/>
            <w:right w:val="none" w:sz="0" w:space="0" w:color="auto"/>
          </w:divBdr>
        </w:div>
        <w:div w:id="683482125">
          <w:marLeft w:val="0"/>
          <w:marRight w:val="0"/>
          <w:marTop w:val="0"/>
          <w:marBottom w:val="0"/>
          <w:divBdr>
            <w:top w:val="none" w:sz="0" w:space="0" w:color="auto"/>
            <w:left w:val="none" w:sz="0" w:space="0" w:color="auto"/>
            <w:bottom w:val="none" w:sz="0" w:space="0" w:color="auto"/>
            <w:right w:val="none" w:sz="0" w:space="0" w:color="auto"/>
          </w:divBdr>
        </w:div>
        <w:div w:id="715276748">
          <w:marLeft w:val="0"/>
          <w:marRight w:val="0"/>
          <w:marTop w:val="0"/>
          <w:marBottom w:val="0"/>
          <w:divBdr>
            <w:top w:val="none" w:sz="0" w:space="0" w:color="auto"/>
            <w:left w:val="none" w:sz="0" w:space="0" w:color="auto"/>
            <w:bottom w:val="none" w:sz="0" w:space="0" w:color="auto"/>
            <w:right w:val="none" w:sz="0" w:space="0" w:color="auto"/>
          </w:divBdr>
        </w:div>
        <w:div w:id="723986917">
          <w:marLeft w:val="0"/>
          <w:marRight w:val="0"/>
          <w:marTop w:val="0"/>
          <w:marBottom w:val="0"/>
          <w:divBdr>
            <w:top w:val="none" w:sz="0" w:space="0" w:color="auto"/>
            <w:left w:val="none" w:sz="0" w:space="0" w:color="auto"/>
            <w:bottom w:val="none" w:sz="0" w:space="0" w:color="auto"/>
            <w:right w:val="none" w:sz="0" w:space="0" w:color="auto"/>
          </w:divBdr>
        </w:div>
        <w:div w:id="729614460">
          <w:marLeft w:val="0"/>
          <w:marRight w:val="0"/>
          <w:marTop w:val="0"/>
          <w:marBottom w:val="0"/>
          <w:divBdr>
            <w:top w:val="none" w:sz="0" w:space="0" w:color="auto"/>
            <w:left w:val="none" w:sz="0" w:space="0" w:color="auto"/>
            <w:bottom w:val="none" w:sz="0" w:space="0" w:color="auto"/>
            <w:right w:val="none" w:sz="0" w:space="0" w:color="auto"/>
          </w:divBdr>
        </w:div>
        <w:div w:id="830604922">
          <w:marLeft w:val="0"/>
          <w:marRight w:val="0"/>
          <w:marTop w:val="0"/>
          <w:marBottom w:val="0"/>
          <w:divBdr>
            <w:top w:val="none" w:sz="0" w:space="0" w:color="auto"/>
            <w:left w:val="none" w:sz="0" w:space="0" w:color="auto"/>
            <w:bottom w:val="none" w:sz="0" w:space="0" w:color="auto"/>
            <w:right w:val="none" w:sz="0" w:space="0" w:color="auto"/>
          </w:divBdr>
        </w:div>
        <w:div w:id="965820726">
          <w:marLeft w:val="0"/>
          <w:marRight w:val="0"/>
          <w:marTop w:val="0"/>
          <w:marBottom w:val="0"/>
          <w:divBdr>
            <w:top w:val="none" w:sz="0" w:space="0" w:color="auto"/>
            <w:left w:val="none" w:sz="0" w:space="0" w:color="auto"/>
            <w:bottom w:val="none" w:sz="0" w:space="0" w:color="auto"/>
            <w:right w:val="none" w:sz="0" w:space="0" w:color="auto"/>
          </w:divBdr>
        </w:div>
        <w:div w:id="971714849">
          <w:marLeft w:val="0"/>
          <w:marRight w:val="0"/>
          <w:marTop w:val="0"/>
          <w:marBottom w:val="0"/>
          <w:divBdr>
            <w:top w:val="none" w:sz="0" w:space="0" w:color="auto"/>
            <w:left w:val="none" w:sz="0" w:space="0" w:color="auto"/>
            <w:bottom w:val="none" w:sz="0" w:space="0" w:color="auto"/>
            <w:right w:val="none" w:sz="0" w:space="0" w:color="auto"/>
          </w:divBdr>
        </w:div>
        <w:div w:id="997003000">
          <w:marLeft w:val="0"/>
          <w:marRight w:val="0"/>
          <w:marTop w:val="0"/>
          <w:marBottom w:val="0"/>
          <w:divBdr>
            <w:top w:val="none" w:sz="0" w:space="0" w:color="auto"/>
            <w:left w:val="none" w:sz="0" w:space="0" w:color="auto"/>
            <w:bottom w:val="none" w:sz="0" w:space="0" w:color="auto"/>
            <w:right w:val="none" w:sz="0" w:space="0" w:color="auto"/>
          </w:divBdr>
        </w:div>
        <w:div w:id="1172377261">
          <w:marLeft w:val="0"/>
          <w:marRight w:val="0"/>
          <w:marTop w:val="0"/>
          <w:marBottom w:val="0"/>
          <w:divBdr>
            <w:top w:val="none" w:sz="0" w:space="0" w:color="auto"/>
            <w:left w:val="none" w:sz="0" w:space="0" w:color="auto"/>
            <w:bottom w:val="none" w:sz="0" w:space="0" w:color="auto"/>
            <w:right w:val="none" w:sz="0" w:space="0" w:color="auto"/>
          </w:divBdr>
        </w:div>
        <w:div w:id="1248004374">
          <w:marLeft w:val="0"/>
          <w:marRight w:val="0"/>
          <w:marTop w:val="0"/>
          <w:marBottom w:val="0"/>
          <w:divBdr>
            <w:top w:val="none" w:sz="0" w:space="0" w:color="auto"/>
            <w:left w:val="none" w:sz="0" w:space="0" w:color="auto"/>
            <w:bottom w:val="none" w:sz="0" w:space="0" w:color="auto"/>
            <w:right w:val="none" w:sz="0" w:space="0" w:color="auto"/>
          </w:divBdr>
        </w:div>
        <w:div w:id="1249844200">
          <w:marLeft w:val="0"/>
          <w:marRight w:val="0"/>
          <w:marTop w:val="0"/>
          <w:marBottom w:val="0"/>
          <w:divBdr>
            <w:top w:val="none" w:sz="0" w:space="0" w:color="auto"/>
            <w:left w:val="none" w:sz="0" w:space="0" w:color="auto"/>
            <w:bottom w:val="none" w:sz="0" w:space="0" w:color="auto"/>
            <w:right w:val="none" w:sz="0" w:space="0" w:color="auto"/>
          </w:divBdr>
        </w:div>
        <w:div w:id="1365015506">
          <w:marLeft w:val="0"/>
          <w:marRight w:val="0"/>
          <w:marTop w:val="0"/>
          <w:marBottom w:val="0"/>
          <w:divBdr>
            <w:top w:val="none" w:sz="0" w:space="0" w:color="auto"/>
            <w:left w:val="none" w:sz="0" w:space="0" w:color="auto"/>
            <w:bottom w:val="none" w:sz="0" w:space="0" w:color="auto"/>
            <w:right w:val="none" w:sz="0" w:space="0" w:color="auto"/>
          </w:divBdr>
        </w:div>
        <w:div w:id="1455513490">
          <w:marLeft w:val="0"/>
          <w:marRight w:val="0"/>
          <w:marTop w:val="0"/>
          <w:marBottom w:val="0"/>
          <w:divBdr>
            <w:top w:val="none" w:sz="0" w:space="0" w:color="auto"/>
            <w:left w:val="none" w:sz="0" w:space="0" w:color="auto"/>
            <w:bottom w:val="none" w:sz="0" w:space="0" w:color="auto"/>
            <w:right w:val="none" w:sz="0" w:space="0" w:color="auto"/>
          </w:divBdr>
        </w:div>
        <w:div w:id="1567033579">
          <w:marLeft w:val="0"/>
          <w:marRight w:val="0"/>
          <w:marTop w:val="0"/>
          <w:marBottom w:val="0"/>
          <w:divBdr>
            <w:top w:val="none" w:sz="0" w:space="0" w:color="auto"/>
            <w:left w:val="none" w:sz="0" w:space="0" w:color="auto"/>
            <w:bottom w:val="none" w:sz="0" w:space="0" w:color="auto"/>
            <w:right w:val="none" w:sz="0" w:space="0" w:color="auto"/>
          </w:divBdr>
        </w:div>
        <w:div w:id="1580557786">
          <w:marLeft w:val="0"/>
          <w:marRight w:val="0"/>
          <w:marTop w:val="0"/>
          <w:marBottom w:val="0"/>
          <w:divBdr>
            <w:top w:val="none" w:sz="0" w:space="0" w:color="auto"/>
            <w:left w:val="none" w:sz="0" w:space="0" w:color="auto"/>
            <w:bottom w:val="none" w:sz="0" w:space="0" w:color="auto"/>
            <w:right w:val="none" w:sz="0" w:space="0" w:color="auto"/>
          </w:divBdr>
        </w:div>
        <w:div w:id="1856503930">
          <w:marLeft w:val="0"/>
          <w:marRight w:val="0"/>
          <w:marTop w:val="0"/>
          <w:marBottom w:val="0"/>
          <w:divBdr>
            <w:top w:val="none" w:sz="0" w:space="0" w:color="auto"/>
            <w:left w:val="none" w:sz="0" w:space="0" w:color="auto"/>
            <w:bottom w:val="none" w:sz="0" w:space="0" w:color="auto"/>
            <w:right w:val="none" w:sz="0" w:space="0" w:color="auto"/>
          </w:divBdr>
        </w:div>
        <w:div w:id="2043630205">
          <w:marLeft w:val="0"/>
          <w:marRight w:val="0"/>
          <w:marTop w:val="0"/>
          <w:marBottom w:val="0"/>
          <w:divBdr>
            <w:top w:val="none" w:sz="0" w:space="0" w:color="auto"/>
            <w:left w:val="none" w:sz="0" w:space="0" w:color="auto"/>
            <w:bottom w:val="none" w:sz="0" w:space="0" w:color="auto"/>
            <w:right w:val="none" w:sz="0" w:space="0" w:color="auto"/>
          </w:divBdr>
        </w:div>
        <w:div w:id="2109151808">
          <w:marLeft w:val="0"/>
          <w:marRight w:val="0"/>
          <w:marTop w:val="0"/>
          <w:marBottom w:val="0"/>
          <w:divBdr>
            <w:top w:val="none" w:sz="0" w:space="0" w:color="auto"/>
            <w:left w:val="none" w:sz="0" w:space="0" w:color="auto"/>
            <w:bottom w:val="none" w:sz="0" w:space="0" w:color="auto"/>
            <w:right w:val="none" w:sz="0" w:space="0" w:color="auto"/>
          </w:divBdr>
        </w:div>
      </w:divsChild>
    </w:div>
    <w:div w:id="1606041354">
      <w:bodyDiv w:val="1"/>
      <w:marLeft w:val="0"/>
      <w:marRight w:val="0"/>
      <w:marTop w:val="0"/>
      <w:marBottom w:val="0"/>
      <w:divBdr>
        <w:top w:val="none" w:sz="0" w:space="0" w:color="auto"/>
        <w:left w:val="none" w:sz="0" w:space="0" w:color="auto"/>
        <w:bottom w:val="none" w:sz="0" w:space="0" w:color="auto"/>
        <w:right w:val="none" w:sz="0" w:space="0" w:color="auto"/>
      </w:divBdr>
    </w:div>
    <w:div w:id="1612518264">
      <w:bodyDiv w:val="1"/>
      <w:marLeft w:val="0"/>
      <w:marRight w:val="0"/>
      <w:marTop w:val="0"/>
      <w:marBottom w:val="0"/>
      <w:divBdr>
        <w:top w:val="none" w:sz="0" w:space="0" w:color="auto"/>
        <w:left w:val="none" w:sz="0" w:space="0" w:color="auto"/>
        <w:bottom w:val="none" w:sz="0" w:space="0" w:color="auto"/>
        <w:right w:val="none" w:sz="0" w:space="0" w:color="auto"/>
      </w:divBdr>
    </w:div>
    <w:div w:id="1651860366">
      <w:bodyDiv w:val="1"/>
      <w:marLeft w:val="0"/>
      <w:marRight w:val="0"/>
      <w:marTop w:val="0"/>
      <w:marBottom w:val="0"/>
      <w:divBdr>
        <w:top w:val="none" w:sz="0" w:space="0" w:color="auto"/>
        <w:left w:val="none" w:sz="0" w:space="0" w:color="auto"/>
        <w:bottom w:val="none" w:sz="0" w:space="0" w:color="auto"/>
        <w:right w:val="none" w:sz="0" w:space="0" w:color="auto"/>
      </w:divBdr>
    </w:div>
    <w:div w:id="1684555648">
      <w:bodyDiv w:val="1"/>
      <w:marLeft w:val="0"/>
      <w:marRight w:val="0"/>
      <w:marTop w:val="0"/>
      <w:marBottom w:val="0"/>
      <w:divBdr>
        <w:top w:val="none" w:sz="0" w:space="0" w:color="auto"/>
        <w:left w:val="none" w:sz="0" w:space="0" w:color="auto"/>
        <w:bottom w:val="none" w:sz="0" w:space="0" w:color="auto"/>
        <w:right w:val="none" w:sz="0" w:space="0" w:color="auto"/>
      </w:divBdr>
    </w:div>
    <w:div w:id="1776169678">
      <w:bodyDiv w:val="1"/>
      <w:marLeft w:val="0"/>
      <w:marRight w:val="0"/>
      <w:marTop w:val="0"/>
      <w:marBottom w:val="0"/>
      <w:divBdr>
        <w:top w:val="none" w:sz="0" w:space="0" w:color="auto"/>
        <w:left w:val="none" w:sz="0" w:space="0" w:color="auto"/>
        <w:bottom w:val="none" w:sz="0" w:space="0" w:color="auto"/>
        <w:right w:val="none" w:sz="0" w:space="0" w:color="auto"/>
      </w:divBdr>
    </w:div>
    <w:div w:id="1862668469">
      <w:bodyDiv w:val="1"/>
      <w:marLeft w:val="0"/>
      <w:marRight w:val="0"/>
      <w:marTop w:val="0"/>
      <w:marBottom w:val="0"/>
      <w:divBdr>
        <w:top w:val="none" w:sz="0" w:space="0" w:color="auto"/>
        <w:left w:val="none" w:sz="0" w:space="0" w:color="auto"/>
        <w:bottom w:val="none" w:sz="0" w:space="0" w:color="auto"/>
        <w:right w:val="none" w:sz="0" w:space="0" w:color="auto"/>
      </w:divBdr>
    </w:div>
    <w:div w:id="1898934791">
      <w:bodyDiv w:val="1"/>
      <w:marLeft w:val="0"/>
      <w:marRight w:val="0"/>
      <w:marTop w:val="0"/>
      <w:marBottom w:val="0"/>
      <w:divBdr>
        <w:top w:val="none" w:sz="0" w:space="0" w:color="auto"/>
        <w:left w:val="none" w:sz="0" w:space="0" w:color="auto"/>
        <w:bottom w:val="none" w:sz="0" w:space="0" w:color="auto"/>
        <w:right w:val="none" w:sz="0" w:space="0" w:color="auto"/>
      </w:divBdr>
      <w:divsChild>
        <w:div w:id="19088875">
          <w:marLeft w:val="0"/>
          <w:marRight w:val="0"/>
          <w:marTop w:val="0"/>
          <w:marBottom w:val="0"/>
          <w:divBdr>
            <w:top w:val="none" w:sz="0" w:space="0" w:color="auto"/>
            <w:left w:val="none" w:sz="0" w:space="0" w:color="auto"/>
            <w:bottom w:val="none" w:sz="0" w:space="0" w:color="auto"/>
            <w:right w:val="none" w:sz="0" w:space="0" w:color="auto"/>
          </w:divBdr>
        </w:div>
        <w:div w:id="1710301876">
          <w:marLeft w:val="0"/>
          <w:marRight w:val="0"/>
          <w:marTop w:val="0"/>
          <w:marBottom w:val="0"/>
          <w:divBdr>
            <w:top w:val="none" w:sz="0" w:space="0" w:color="auto"/>
            <w:left w:val="none" w:sz="0" w:space="0" w:color="auto"/>
            <w:bottom w:val="none" w:sz="0" w:space="0" w:color="auto"/>
            <w:right w:val="none" w:sz="0" w:space="0" w:color="auto"/>
          </w:divBdr>
        </w:div>
      </w:divsChild>
    </w:div>
    <w:div w:id="1921718727">
      <w:bodyDiv w:val="1"/>
      <w:marLeft w:val="0"/>
      <w:marRight w:val="0"/>
      <w:marTop w:val="0"/>
      <w:marBottom w:val="0"/>
      <w:divBdr>
        <w:top w:val="none" w:sz="0" w:space="0" w:color="auto"/>
        <w:left w:val="none" w:sz="0" w:space="0" w:color="auto"/>
        <w:bottom w:val="none" w:sz="0" w:space="0" w:color="auto"/>
        <w:right w:val="none" w:sz="0" w:space="0" w:color="auto"/>
      </w:divBdr>
    </w:div>
    <w:div w:id="2016684871">
      <w:bodyDiv w:val="1"/>
      <w:marLeft w:val="0"/>
      <w:marRight w:val="0"/>
      <w:marTop w:val="0"/>
      <w:marBottom w:val="0"/>
      <w:divBdr>
        <w:top w:val="none" w:sz="0" w:space="0" w:color="auto"/>
        <w:left w:val="none" w:sz="0" w:space="0" w:color="auto"/>
        <w:bottom w:val="none" w:sz="0" w:space="0" w:color="auto"/>
        <w:right w:val="none" w:sz="0" w:space="0" w:color="auto"/>
      </w:divBdr>
    </w:div>
    <w:div w:id="2067798998">
      <w:bodyDiv w:val="1"/>
      <w:marLeft w:val="0"/>
      <w:marRight w:val="0"/>
      <w:marTop w:val="0"/>
      <w:marBottom w:val="0"/>
      <w:divBdr>
        <w:top w:val="none" w:sz="0" w:space="0" w:color="auto"/>
        <w:left w:val="none" w:sz="0" w:space="0" w:color="auto"/>
        <w:bottom w:val="none" w:sz="0" w:space="0" w:color="auto"/>
        <w:right w:val="none" w:sz="0" w:space="0" w:color="auto"/>
      </w:divBdr>
      <w:divsChild>
        <w:div w:id="555358266">
          <w:marLeft w:val="0"/>
          <w:marRight w:val="0"/>
          <w:marTop w:val="0"/>
          <w:marBottom w:val="0"/>
          <w:divBdr>
            <w:top w:val="none" w:sz="0" w:space="0" w:color="auto"/>
            <w:left w:val="none" w:sz="0" w:space="0" w:color="auto"/>
            <w:bottom w:val="none" w:sz="0" w:space="0" w:color="auto"/>
            <w:right w:val="none" w:sz="0" w:space="0" w:color="auto"/>
          </w:divBdr>
          <w:divsChild>
            <w:div w:id="427966924">
              <w:marLeft w:val="0"/>
              <w:marRight w:val="0"/>
              <w:marTop w:val="0"/>
              <w:marBottom w:val="0"/>
              <w:divBdr>
                <w:top w:val="none" w:sz="0" w:space="0" w:color="auto"/>
                <w:left w:val="none" w:sz="0" w:space="0" w:color="auto"/>
                <w:bottom w:val="none" w:sz="0" w:space="0" w:color="auto"/>
                <w:right w:val="none" w:sz="0" w:space="0" w:color="auto"/>
              </w:divBdr>
            </w:div>
            <w:div w:id="1111121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1368815">
      <w:bodyDiv w:val="1"/>
      <w:marLeft w:val="0"/>
      <w:marRight w:val="0"/>
      <w:marTop w:val="0"/>
      <w:marBottom w:val="0"/>
      <w:divBdr>
        <w:top w:val="none" w:sz="0" w:space="0" w:color="auto"/>
        <w:left w:val="none" w:sz="0" w:space="0" w:color="auto"/>
        <w:bottom w:val="none" w:sz="0" w:space="0" w:color="auto"/>
        <w:right w:val="none" w:sz="0" w:space="0" w:color="auto"/>
      </w:divBdr>
    </w:div>
    <w:div w:id="2096394718">
      <w:bodyDiv w:val="1"/>
      <w:marLeft w:val="0"/>
      <w:marRight w:val="0"/>
      <w:marTop w:val="0"/>
      <w:marBottom w:val="0"/>
      <w:divBdr>
        <w:top w:val="none" w:sz="0" w:space="0" w:color="auto"/>
        <w:left w:val="none" w:sz="0" w:space="0" w:color="auto"/>
        <w:bottom w:val="none" w:sz="0" w:space="0" w:color="auto"/>
        <w:right w:val="none" w:sz="0" w:space="0" w:color="auto"/>
      </w:divBdr>
    </w:div>
    <w:div w:id="21441576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header" Target="header1.xml"/><Relationship Id="rId50"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header" Target="header2.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40.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E910728-E49C-41E6-9172-2A64EE283D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249</TotalTime>
  <Pages>37</Pages>
  <Words>9133</Words>
  <Characters>50237</Characters>
  <Application>Microsoft Office Word</Application>
  <DocSecurity>0</DocSecurity>
  <Lines>418</Lines>
  <Paragraphs>118</Paragraphs>
  <ScaleCrop>false</ScaleCrop>
  <HeadingPairs>
    <vt:vector size="2" baseType="variant">
      <vt:variant>
        <vt:lpstr>Titre</vt:lpstr>
      </vt:variant>
      <vt:variant>
        <vt:i4>1</vt:i4>
      </vt:variant>
    </vt:vector>
  </HeadingPairs>
  <TitlesOfParts>
    <vt:vector size="1" baseType="lpstr">
      <vt:lpstr/>
    </vt:vector>
  </TitlesOfParts>
  <Company>Microsoft</Company>
  <LinksUpToDate>false</LinksUpToDate>
  <CharactersWithSpaces>59252</CharactersWithSpaces>
  <SharedDoc>false</SharedDoc>
  <HLinks>
    <vt:vector size="18" baseType="variant">
      <vt:variant>
        <vt:i4>1966137</vt:i4>
      </vt:variant>
      <vt:variant>
        <vt:i4>20</vt:i4>
      </vt:variant>
      <vt:variant>
        <vt:i4>0</vt:i4>
      </vt:variant>
      <vt:variant>
        <vt:i4>5</vt:i4>
      </vt:variant>
      <vt:variant>
        <vt:lpwstr/>
      </vt:variant>
      <vt:variant>
        <vt:lpwstr>_Toc371523983</vt:lpwstr>
      </vt:variant>
      <vt:variant>
        <vt:i4>1966137</vt:i4>
      </vt:variant>
      <vt:variant>
        <vt:i4>14</vt:i4>
      </vt:variant>
      <vt:variant>
        <vt:i4>0</vt:i4>
      </vt:variant>
      <vt:variant>
        <vt:i4>5</vt:i4>
      </vt:variant>
      <vt:variant>
        <vt:lpwstr/>
      </vt:variant>
      <vt:variant>
        <vt:lpwstr>_Toc371523982</vt:lpwstr>
      </vt:variant>
      <vt:variant>
        <vt:i4>1966137</vt:i4>
      </vt:variant>
      <vt:variant>
        <vt:i4>8</vt:i4>
      </vt:variant>
      <vt:variant>
        <vt:i4>0</vt:i4>
      </vt:variant>
      <vt:variant>
        <vt:i4>5</vt:i4>
      </vt:variant>
      <vt:variant>
        <vt:lpwstr/>
      </vt:variant>
      <vt:variant>
        <vt:lpwstr>_Toc371523981</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df</dc:creator>
  <cp:lastModifiedBy>Olivier Bath</cp:lastModifiedBy>
  <cp:revision>173</cp:revision>
  <cp:lastPrinted>2020-01-09T16:06:00Z</cp:lastPrinted>
  <dcterms:created xsi:type="dcterms:W3CDTF">2021-06-24T09:55:00Z</dcterms:created>
  <dcterms:modified xsi:type="dcterms:W3CDTF">2022-03-03T08:46:00Z</dcterms:modified>
</cp:coreProperties>
</file>