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pPr>
        <w:spacing w:before="720" w:after="960"/>
      </w:pPr>
    </w:p>
    <w:p>
      <w:pPr>
        <w:spacing w:before="720" w:after="960"/>
      </w:pPr>
    </w:p>
    <w:p/>
    <w:p>
      <w:pPr>
        <w:pStyle w:val="Liste"/>
        <w:spacing w:before="120" w:after="0"/>
        <w:jc w:val="center"/>
        <w:rPr>
          <w:noProof/>
          <w:highlight w:val="yellow"/>
        </w:rPr>
      </w:pPr>
    </w:p>
    <w:p>
      <w:pPr>
        <w:pStyle w:val="Liste"/>
        <w:spacing w:before="120" w:after="0"/>
        <w:jc w:val="center"/>
        <w:rPr>
          <w:noProof/>
          <w:highlight w:val="yellow"/>
        </w:rPr>
      </w:pPr>
      <w:r>
        <w:rPr>
          <w:noProof/>
        </w:rPr>
        <w:drawing>
          <wp:inline distT="0" distB="0" distL="0" distR="0">
            <wp:extent cx="2943225" cy="1371600"/>
            <wp:effectExtent l="19050" t="0" r="9525" b="0"/>
            <wp:docPr id="1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2943225" cy="1371600"/>
                    </a:xfrm>
                    <a:prstGeom prst="rect">
                      <a:avLst/>
                    </a:prstGeom>
                    <a:noFill/>
                    <a:ln w="9525">
                      <a:noFill/>
                      <a:miter lim="800000"/>
                      <a:headEnd/>
                      <a:tailEnd/>
                    </a:ln>
                  </pic:spPr>
                </pic:pic>
              </a:graphicData>
            </a:graphic>
          </wp:inline>
        </w:drawing>
      </w:r>
    </w:p>
    <w:p>
      <w:pPr>
        <w:pStyle w:val="Liste"/>
        <w:spacing w:before="120" w:after="0"/>
        <w:jc w:val="center"/>
        <w:rPr>
          <w:noProof/>
          <w:highlight w:val="yellow"/>
        </w:rPr>
      </w:pPr>
    </w:p>
    <w:p>
      <w:pPr>
        <w:pStyle w:val="Sous-titregris"/>
        <w:jc w:val="center"/>
        <w:rPr>
          <w:b/>
          <w:color w:val="404040" w:themeColor="text1" w:themeTint="BF"/>
          <w:sz w:val="36"/>
          <w:szCs w:val="30"/>
        </w:rPr>
      </w:pPr>
      <w:r>
        <w:rPr>
          <w:b/>
          <w:color w:val="404040" w:themeColor="text1" w:themeTint="BF"/>
          <w:sz w:val="36"/>
          <w:szCs w:val="30"/>
        </w:rPr>
        <w:t>ETUDE DIAGNOSTIC DU SYSTEME D’ASSAINISSEMENT</w:t>
      </w:r>
    </w:p>
    <w:p>
      <w:pPr>
        <w:pStyle w:val="Sous-titregris"/>
        <w:jc w:val="center"/>
        <w:rPr>
          <w:b/>
          <w:color w:val="404040" w:themeColor="text1" w:themeTint="BF"/>
          <w:sz w:val="36"/>
          <w:szCs w:val="30"/>
        </w:rPr>
      </w:pPr>
      <w:r>
        <w:rPr>
          <w:b/>
          <w:color w:val="404040" w:themeColor="text1" w:themeTint="BF"/>
          <w:sz w:val="36"/>
          <w:szCs w:val="30"/>
        </w:rPr>
        <w:t xml:space="preserve">Communes de </w:t>
      </w:r>
      <w:proofErr w:type="spellStart"/>
      <w:r>
        <w:rPr>
          <w:b/>
          <w:color w:val="404040" w:themeColor="text1" w:themeTint="BF"/>
          <w:sz w:val="36"/>
          <w:szCs w:val="30"/>
        </w:rPr>
        <w:t>Bezouce</w:t>
      </w:r>
      <w:proofErr w:type="spellEnd"/>
      <w:r>
        <w:rPr>
          <w:b/>
          <w:color w:val="404040" w:themeColor="text1" w:themeTint="BF"/>
          <w:sz w:val="36"/>
          <w:szCs w:val="30"/>
        </w:rPr>
        <w:t xml:space="preserve"> et Saint-</w:t>
      </w:r>
      <w:proofErr w:type="spellStart"/>
      <w:r>
        <w:rPr>
          <w:b/>
          <w:color w:val="404040" w:themeColor="text1" w:themeTint="BF"/>
          <w:sz w:val="36"/>
          <w:szCs w:val="30"/>
        </w:rPr>
        <w:t>Gervasy</w:t>
      </w:r>
      <w:proofErr w:type="spellEnd"/>
    </w:p>
    <w:p>
      <w:pPr>
        <w:pStyle w:val="Sous-titregris"/>
        <w:jc w:val="center"/>
        <w:rPr>
          <w:b/>
          <w:color w:val="404040" w:themeColor="text1" w:themeTint="BF"/>
          <w:sz w:val="36"/>
          <w:szCs w:val="30"/>
        </w:rPr>
      </w:pPr>
    </w:p>
    <w:p>
      <w:pPr>
        <w:pStyle w:val="Emphaserouge"/>
        <w:jc w:val="center"/>
        <w:rPr>
          <w:b/>
          <w:color w:val="0070C0"/>
          <w:sz w:val="32"/>
        </w:rPr>
      </w:pPr>
      <w:r>
        <w:rPr>
          <w:b/>
          <w:color w:val="F689BA"/>
        </w:rPr>
        <w:br/>
      </w:r>
      <w:r>
        <w:rPr>
          <w:b/>
          <w:color w:val="0070C0"/>
          <w:sz w:val="32"/>
        </w:rPr>
        <w:t>Rapport de synthèse</w:t>
      </w:r>
    </w:p>
    <w:p>
      <w:pPr>
        <w:pStyle w:val="Emphaserouge"/>
        <w:rPr>
          <w:color w:val="0070C0"/>
          <w:sz w:val="32"/>
        </w:rPr>
      </w:pPr>
    </w:p>
    <w:p>
      <w:pPr>
        <w:pStyle w:val="Emphaserouge"/>
        <w:rPr>
          <w:color w:val="0070C0"/>
          <w:sz w:val="32"/>
        </w:rPr>
      </w:pPr>
    </w:p>
    <w:p/>
    <w:tbl>
      <w:tblPr>
        <w:tblW w:w="0" w:type="auto"/>
        <w:tblLook w:val="04A0" w:firstRow="1" w:lastRow="0" w:firstColumn="1" w:lastColumn="0" w:noHBand="0" w:noVBand="1"/>
      </w:tblPr>
      <w:tblGrid>
        <w:gridCol w:w="3227"/>
        <w:gridCol w:w="2977"/>
        <w:gridCol w:w="1134"/>
        <w:gridCol w:w="1094"/>
        <w:gridCol w:w="1356"/>
      </w:tblGrid>
      <w:tr>
        <w:tc>
          <w:tcPr>
            <w:tcW w:w="3227" w:type="dxa"/>
          </w:tcPr>
          <w:p>
            <w:pPr>
              <w:spacing w:before="0"/>
              <w:rPr>
                <w:color w:val="404040" w:themeColor="text1" w:themeTint="BF"/>
              </w:rPr>
            </w:pPr>
          </w:p>
        </w:tc>
        <w:tc>
          <w:tcPr>
            <w:tcW w:w="2977" w:type="dxa"/>
          </w:tcPr>
          <w:p>
            <w:pPr>
              <w:spacing w:before="0"/>
              <w:rPr>
                <w:color w:val="404040" w:themeColor="text1" w:themeTint="BF"/>
              </w:rPr>
            </w:pPr>
          </w:p>
        </w:tc>
        <w:tc>
          <w:tcPr>
            <w:tcW w:w="1134" w:type="dxa"/>
          </w:tcPr>
          <w:p>
            <w:pPr>
              <w:tabs>
                <w:tab w:val="left" w:pos="915"/>
              </w:tabs>
            </w:pPr>
          </w:p>
        </w:tc>
        <w:tc>
          <w:tcPr>
            <w:tcW w:w="1094" w:type="dxa"/>
          </w:tcPr>
          <w:p>
            <w:pPr>
              <w:pStyle w:val="Emphaserouge"/>
              <w:spacing w:before="0" w:after="0"/>
              <w:rPr>
                <w:color w:val="404040" w:themeColor="text1" w:themeTint="BF"/>
                <w:sz w:val="20"/>
              </w:rPr>
            </w:pPr>
          </w:p>
        </w:tc>
        <w:tc>
          <w:tcPr>
            <w:tcW w:w="1356" w:type="dxa"/>
          </w:tcPr>
          <w:p>
            <w:pPr>
              <w:pStyle w:val="Emphaserouge"/>
              <w:spacing w:before="0" w:after="0"/>
              <w:rPr>
                <w:color w:val="404040" w:themeColor="text1" w:themeTint="BF"/>
                <w:sz w:val="20"/>
              </w:rPr>
            </w:pPr>
          </w:p>
        </w:tc>
      </w:tr>
      <w:tr>
        <w:tc>
          <w:tcPr>
            <w:tcW w:w="9788" w:type="dxa"/>
            <w:gridSpan w:val="5"/>
          </w:tcPr>
          <w:p>
            <w:pPr>
              <w:pStyle w:val="Emphaserouge"/>
              <w:spacing w:before="0" w:after="0"/>
              <w:jc w:val="right"/>
              <w:rPr>
                <w:color w:val="3C005A"/>
                <w:sz w:val="20"/>
              </w:rPr>
            </w:pPr>
          </w:p>
        </w:tc>
      </w:tr>
      <w:tr>
        <w:tc>
          <w:tcPr>
            <w:tcW w:w="9788" w:type="dxa"/>
            <w:gridSpan w:val="5"/>
          </w:tcPr>
          <w:p>
            <w:pPr>
              <w:pStyle w:val="Emphaserouge"/>
              <w:spacing w:before="0" w:after="0"/>
              <w:jc w:val="right"/>
              <w:rPr>
                <w:color w:val="3C005A"/>
                <w:sz w:val="20"/>
              </w:rPr>
            </w:pPr>
          </w:p>
          <w:p>
            <w:pPr>
              <w:pStyle w:val="Emphaserouge"/>
              <w:spacing w:before="0" w:after="0"/>
              <w:jc w:val="right"/>
              <w:rPr>
                <w:color w:val="3C005A"/>
                <w:sz w:val="20"/>
              </w:rPr>
            </w:pPr>
          </w:p>
        </w:tc>
      </w:tr>
    </w:tbl>
    <w:p>
      <w:pPr>
        <w:rPr>
          <w:highlight w:val="yellow"/>
        </w:rPr>
      </w:pPr>
    </w:p>
    <w:p>
      <w:pPr>
        <w:jc w:val="left"/>
        <w:rPr>
          <w:b/>
          <w:bCs/>
          <w:color w:val="333333"/>
          <w:sz w:val="32"/>
        </w:rPr>
      </w:pPr>
      <w:r>
        <w:rPr>
          <w:b/>
          <w:bCs/>
          <w:color w:val="333333"/>
          <w:sz w:val="32"/>
        </w:rPr>
        <w:br w:type="page"/>
      </w:r>
      <w:r>
        <w:rPr>
          <w:b/>
          <w:bCs/>
          <w:color w:val="333333"/>
          <w:sz w:val="32"/>
        </w:rPr>
        <w:lastRenderedPageBreak/>
        <w:t>Sommaire</w:t>
      </w:r>
      <w:bookmarkStart w:id="0" w:name="_GoBack"/>
      <w:bookmarkEnd w:id="0"/>
    </w:p>
    <w:p>
      <w:pPr>
        <w:pStyle w:val="TM1"/>
        <w:tabs>
          <w:tab w:val="right" w:leader="dot" w:pos="9627"/>
        </w:tabs>
        <w:rPr>
          <w:rFonts w:asciiTheme="minorHAnsi" w:eastAsiaTheme="minorEastAsia" w:hAnsiTheme="minorHAnsi" w:cstheme="minorBidi"/>
          <w:b w:val="0"/>
          <w:caps w:val="0"/>
          <w:sz w:val="22"/>
          <w:szCs w:val="22"/>
        </w:rPr>
      </w:pPr>
      <w:r>
        <w:rPr>
          <w:highlight w:val="yellow"/>
        </w:rPr>
        <w:fldChar w:fldCharType="begin"/>
      </w:r>
      <w:r>
        <w:rPr>
          <w:highlight w:val="yellow"/>
        </w:rPr>
        <w:instrText xml:space="preserve"> TOC \o "1-3" \h \z </w:instrText>
      </w:r>
      <w:r>
        <w:rPr>
          <w:highlight w:val="yellow"/>
        </w:rPr>
        <w:fldChar w:fldCharType="separate"/>
      </w:r>
      <w:hyperlink w:anchor="_Toc92700748" w:history="1">
        <w:r>
          <w:rPr>
            <w:rStyle w:val="Lienhypertexte"/>
          </w:rPr>
          <w:t>0. Préambule</w:t>
        </w:r>
        <w:r>
          <w:rPr>
            <w:webHidden/>
          </w:rPr>
          <w:tab/>
        </w:r>
        <w:r>
          <w:rPr>
            <w:webHidden/>
          </w:rPr>
          <w:fldChar w:fldCharType="begin"/>
        </w:r>
        <w:r>
          <w:rPr>
            <w:webHidden/>
          </w:rPr>
          <w:instrText xml:space="preserve"> PAGEREF _Toc92700748 \h </w:instrText>
        </w:r>
        <w:r>
          <w:rPr>
            <w:webHidden/>
          </w:rPr>
        </w:r>
        <w:r>
          <w:rPr>
            <w:webHidden/>
          </w:rPr>
          <w:fldChar w:fldCharType="separate"/>
        </w:r>
        <w:r>
          <w:rPr>
            <w:webHidden/>
          </w:rPr>
          <w:t>4</w:t>
        </w:r>
        <w:r>
          <w:rPr>
            <w:webHidden/>
          </w:rPr>
          <w:fldChar w:fldCharType="end"/>
        </w:r>
      </w:hyperlink>
    </w:p>
    <w:p>
      <w:pPr>
        <w:pStyle w:val="TM1"/>
        <w:tabs>
          <w:tab w:val="right" w:leader="dot" w:pos="9627"/>
        </w:tabs>
        <w:rPr>
          <w:rFonts w:asciiTheme="minorHAnsi" w:eastAsiaTheme="minorEastAsia" w:hAnsiTheme="minorHAnsi" w:cstheme="minorBidi"/>
          <w:b w:val="0"/>
          <w:caps w:val="0"/>
          <w:sz w:val="22"/>
          <w:szCs w:val="22"/>
        </w:rPr>
      </w:pPr>
      <w:hyperlink w:anchor="_Toc92700749" w:history="1">
        <w:r>
          <w:rPr>
            <w:rStyle w:val="Lienhypertexte"/>
          </w:rPr>
          <w:t>1. Synthèse des principaux éléments du diagnostic</w:t>
        </w:r>
        <w:r>
          <w:rPr>
            <w:webHidden/>
          </w:rPr>
          <w:tab/>
        </w:r>
        <w:r>
          <w:rPr>
            <w:webHidden/>
          </w:rPr>
          <w:fldChar w:fldCharType="begin"/>
        </w:r>
        <w:r>
          <w:rPr>
            <w:webHidden/>
          </w:rPr>
          <w:instrText xml:space="preserve"> PAGEREF _Toc92700749 \h </w:instrText>
        </w:r>
        <w:r>
          <w:rPr>
            <w:webHidden/>
          </w:rPr>
        </w:r>
        <w:r>
          <w:rPr>
            <w:webHidden/>
          </w:rPr>
          <w:fldChar w:fldCharType="separate"/>
        </w:r>
        <w:r>
          <w:rPr>
            <w:webHidden/>
          </w:rPr>
          <w:t>5</w:t>
        </w:r>
        <w:r>
          <w:rPr>
            <w:webHidden/>
          </w:rPr>
          <w:fldChar w:fldCharType="end"/>
        </w:r>
      </w:hyperlink>
    </w:p>
    <w:p>
      <w:pPr>
        <w:pStyle w:val="TM2"/>
        <w:tabs>
          <w:tab w:val="right" w:leader="dot" w:pos="9627"/>
        </w:tabs>
        <w:rPr>
          <w:rFonts w:asciiTheme="minorHAnsi" w:eastAsiaTheme="minorEastAsia" w:hAnsiTheme="minorHAnsi" w:cstheme="minorBidi"/>
          <w:b w:val="0"/>
          <w:sz w:val="22"/>
          <w:szCs w:val="22"/>
        </w:rPr>
      </w:pPr>
      <w:hyperlink w:anchor="_Toc92700750" w:history="1">
        <w:r>
          <w:rPr>
            <w:rStyle w:val="Lienhypertexte"/>
          </w:rPr>
          <w:t>1.1. Ratio et chiffres clefs</w:t>
        </w:r>
        <w:r>
          <w:rPr>
            <w:webHidden/>
          </w:rPr>
          <w:tab/>
        </w:r>
        <w:r>
          <w:rPr>
            <w:webHidden/>
          </w:rPr>
          <w:fldChar w:fldCharType="begin"/>
        </w:r>
        <w:r>
          <w:rPr>
            <w:webHidden/>
          </w:rPr>
          <w:instrText xml:space="preserve"> PAGEREF _Toc92700750 \h </w:instrText>
        </w:r>
        <w:r>
          <w:rPr>
            <w:webHidden/>
          </w:rPr>
        </w:r>
        <w:r>
          <w:rPr>
            <w:webHidden/>
          </w:rPr>
          <w:fldChar w:fldCharType="separate"/>
        </w:r>
        <w:r>
          <w:rPr>
            <w:webHidden/>
          </w:rPr>
          <w:t>5</w:t>
        </w:r>
        <w:r>
          <w:rPr>
            <w:webHidden/>
          </w:rPr>
          <w:fldChar w:fldCharType="end"/>
        </w:r>
      </w:hyperlink>
    </w:p>
    <w:p>
      <w:pPr>
        <w:pStyle w:val="TM2"/>
        <w:tabs>
          <w:tab w:val="right" w:leader="dot" w:pos="9627"/>
        </w:tabs>
        <w:rPr>
          <w:rFonts w:asciiTheme="minorHAnsi" w:eastAsiaTheme="minorEastAsia" w:hAnsiTheme="minorHAnsi" w:cstheme="minorBidi"/>
          <w:b w:val="0"/>
          <w:sz w:val="22"/>
          <w:szCs w:val="22"/>
        </w:rPr>
      </w:pPr>
      <w:hyperlink w:anchor="_Toc92700751" w:history="1">
        <w:r>
          <w:rPr>
            <w:rStyle w:val="Lienhypertexte"/>
          </w:rPr>
          <w:t>1.2. Etat du réseau de collecte</w:t>
        </w:r>
        <w:r>
          <w:rPr>
            <w:webHidden/>
          </w:rPr>
          <w:tab/>
        </w:r>
        <w:r>
          <w:rPr>
            <w:webHidden/>
          </w:rPr>
          <w:fldChar w:fldCharType="begin"/>
        </w:r>
        <w:r>
          <w:rPr>
            <w:webHidden/>
          </w:rPr>
          <w:instrText xml:space="preserve"> PAGEREF _Toc92700751 \h </w:instrText>
        </w:r>
        <w:r>
          <w:rPr>
            <w:webHidden/>
          </w:rPr>
        </w:r>
        <w:r>
          <w:rPr>
            <w:webHidden/>
          </w:rPr>
          <w:fldChar w:fldCharType="separate"/>
        </w:r>
        <w:r>
          <w:rPr>
            <w:webHidden/>
          </w:rPr>
          <w:t>5</w:t>
        </w:r>
        <w:r>
          <w:rPr>
            <w:webHidden/>
          </w:rPr>
          <w:fldChar w:fldCharType="end"/>
        </w:r>
      </w:hyperlink>
    </w:p>
    <w:p>
      <w:pPr>
        <w:pStyle w:val="TM2"/>
        <w:tabs>
          <w:tab w:val="right" w:leader="dot" w:pos="9627"/>
        </w:tabs>
        <w:rPr>
          <w:rFonts w:asciiTheme="minorHAnsi" w:eastAsiaTheme="minorEastAsia" w:hAnsiTheme="minorHAnsi" w:cstheme="minorBidi"/>
          <w:b w:val="0"/>
          <w:sz w:val="22"/>
          <w:szCs w:val="22"/>
        </w:rPr>
      </w:pPr>
      <w:hyperlink w:anchor="_Toc92700752" w:history="1">
        <w:r>
          <w:rPr>
            <w:rStyle w:val="Lienhypertexte"/>
          </w:rPr>
          <w:t>1.3. Fonctionnement et performance de l’unité de dépollution des eaux usées</w:t>
        </w:r>
        <w:r>
          <w:rPr>
            <w:webHidden/>
          </w:rPr>
          <w:tab/>
        </w:r>
        <w:r>
          <w:rPr>
            <w:webHidden/>
          </w:rPr>
          <w:fldChar w:fldCharType="begin"/>
        </w:r>
        <w:r>
          <w:rPr>
            <w:webHidden/>
          </w:rPr>
          <w:instrText xml:space="preserve"> PAGEREF _Toc92700752 \h </w:instrText>
        </w:r>
        <w:r>
          <w:rPr>
            <w:webHidden/>
          </w:rPr>
        </w:r>
        <w:r>
          <w:rPr>
            <w:webHidden/>
          </w:rPr>
          <w:fldChar w:fldCharType="separate"/>
        </w:r>
        <w:r>
          <w:rPr>
            <w:webHidden/>
          </w:rPr>
          <w:t>6</w:t>
        </w:r>
        <w:r>
          <w:rPr>
            <w:webHidden/>
          </w:rPr>
          <w:fldChar w:fldCharType="end"/>
        </w:r>
      </w:hyperlink>
    </w:p>
    <w:p>
      <w:pPr>
        <w:pStyle w:val="TM2"/>
        <w:tabs>
          <w:tab w:val="right" w:leader="dot" w:pos="9627"/>
        </w:tabs>
        <w:rPr>
          <w:rFonts w:asciiTheme="minorHAnsi" w:eastAsiaTheme="minorEastAsia" w:hAnsiTheme="minorHAnsi" w:cstheme="minorBidi"/>
          <w:b w:val="0"/>
          <w:sz w:val="22"/>
          <w:szCs w:val="22"/>
        </w:rPr>
      </w:pPr>
      <w:hyperlink w:anchor="_Toc92700753" w:history="1">
        <w:r>
          <w:rPr>
            <w:rStyle w:val="Lienhypertexte"/>
          </w:rPr>
          <w:t>1.4. Campagne de mesures</w:t>
        </w:r>
        <w:r>
          <w:rPr>
            <w:webHidden/>
          </w:rPr>
          <w:tab/>
        </w:r>
        <w:r>
          <w:rPr>
            <w:webHidden/>
          </w:rPr>
          <w:fldChar w:fldCharType="begin"/>
        </w:r>
        <w:r>
          <w:rPr>
            <w:webHidden/>
          </w:rPr>
          <w:instrText xml:space="preserve"> PAGEREF _Toc92700753 \h </w:instrText>
        </w:r>
        <w:r>
          <w:rPr>
            <w:webHidden/>
          </w:rPr>
        </w:r>
        <w:r>
          <w:rPr>
            <w:webHidden/>
          </w:rPr>
          <w:fldChar w:fldCharType="separate"/>
        </w:r>
        <w:r>
          <w:rPr>
            <w:webHidden/>
          </w:rPr>
          <w:t>6</w:t>
        </w:r>
        <w:r>
          <w:rPr>
            <w:webHidden/>
          </w:rPr>
          <w:fldChar w:fldCharType="end"/>
        </w:r>
      </w:hyperlink>
    </w:p>
    <w:p>
      <w:pPr>
        <w:pStyle w:val="TM2"/>
        <w:tabs>
          <w:tab w:val="right" w:leader="dot" w:pos="9627"/>
        </w:tabs>
        <w:rPr>
          <w:rFonts w:asciiTheme="minorHAnsi" w:eastAsiaTheme="minorEastAsia" w:hAnsiTheme="minorHAnsi" w:cstheme="minorBidi"/>
          <w:b w:val="0"/>
          <w:sz w:val="22"/>
          <w:szCs w:val="22"/>
        </w:rPr>
      </w:pPr>
      <w:hyperlink w:anchor="_Toc92700754" w:history="1">
        <w:r>
          <w:rPr>
            <w:rStyle w:val="Lienhypertexte"/>
          </w:rPr>
          <w:t>1.5. Bilan des eaux parasites sur le système de collecte</w:t>
        </w:r>
        <w:r>
          <w:rPr>
            <w:webHidden/>
          </w:rPr>
          <w:tab/>
        </w:r>
        <w:r>
          <w:rPr>
            <w:webHidden/>
          </w:rPr>
          <w:fldChar w:fldCharType="begin"/>
        </w:r>
        <w:r>
          <w:rPr>
            <w:webHidden/>
          </w:rPr>
          <w:instrText xml:space="preserve"> PAGEREF _Toc92700754 \h </w:instrText>
        </w:r>
        <w:r>
          <w:rPr>
            <w:webHidden/>
          </w:rPr>
        </w:r>
        <w:r>
          <w:rPr>
            <w:webHidden/>
          </w:rPr>
          <w:fldChar w:fldCharType="separate"/>
        </w:r>
        <w:r>
          <w:rPr>
            <w:webHidden/>
          </w:rPr>
          <w:t>8</w:t>
        </w:r>
        <w:r>
          <w:rPr>
            <w:webHidden/>
          </w:rPr>
          <w:fldChar w:fldCharType="end"/>
        </w:r>
      </w:hyperlink>
    </w:p>
    <w:p>
      <w:pPr>
        <w:pStyle w:val="TM3"/>
        <w:tabs>
          <w:tab w:val="right" w:leader="dot" w:pos="9627"/>
        </w:tabs>
        <w:rPr>
          <w:rFonts w:asciiTheme="minorHAnsi" w:eastAsiaTheme="minorEastAsia" w:hAnsiTheme="minorHAnsi" w:cstheme="minorBidi"/>
          <w:noProof/>
          <w:sz w:val="22"/>
          <w:szCs w:val="22"/>
        </w:rPr>
      </w:pPr>
      <w:hyperlink w:anchor="_Toc92700755" w:history="1">
        <w:r>
          <w:rPr>
            <w:rStyle w:val="Lienhypertexte"/>
            <w:noProof/>
          </w:rPr>
          <w:t>1.5.1. Eaux claires parasites permanentes (ECPP)</w:t>
        </w:r>
        <w:r>
          <w:rPr>
            <w:noProof/>
            <w:webHidden/>
          </w:rPr>
          <w:tab/>
        </w:r>
        <w:r>
          <w:rPr>
            <w:noProof/>
            <w:webHidden/>
          </w:rPr>
          <w:fldChar w:fldCharType="begin"/>
        </w:r>
        <w:r>
          <w:rPr>
            <w:noProof/>
            <w:webHidden/>
          </w:rPr>
          <w:instrText xml:space="preserve"> PAGEREF _Toc92700755 \h </w:instrText>
        </w:r>
        <w:r>
          <w:rPr>
            <w:noProof/>
            <w:webHidden/>
          </w:rPr>
        </w:r>
        <w:r>
          <w:rPr>
            <w:noProof/>
            <w:webHidden/>
          </w:rPr>
          <w:fldChar w:fldCharType="separate"/>
        </w:r>
        <w:r>
          <w:rPr>
            <w:noProof/>
            <w:webHidden/>
          </w:rPr>
          <w:t>8</w:t>
        </w:r>
        <w:r>
          <w:rPr>
            <w:noProof/>
            <w:webHidden/>
          </w:rPr>
          <w:fldChar w:fldCharType="end"/>
        </w:r>
      </w:hyperlink>
    </w:p>
    <w:p>
      <w:pPr>
        <w:pStyle w:val="TM3"/>
        <w:tabs>
          <w:tab w:val="right" w:leader="dot" w:pos="9627"/>
        </w:tabs>
        <w:rPr>
          <w:rFonts w:asciiTheme="minorHAnsi" w:eastAsiaTheme="minorEastAsia" w:hAnsiTheme="minorHAnsi" w:cstheme="minorBidi"/>
          <w:noProof/>
          <w:sz w:val="22"/>
          <w:szCs w:val="22"/>
        </w:rPr>
      </w:pPr>
      <w:hyperlink w:anchor="_Toc92700756" w:history="1">
        <w:r>
          <w:rPr>
            <w:rStyle w:val="Lienhypertexte"/>
            <w:noProof/>
          </w:rPr>
          <w:t>1.5.2. Eaux claires parasites météoriques (ECPM)</w:t>
        </w:r>
        <w:r>
          <w:rPr>
            <w:noProof/>
            <w:webHidden/>
          </w:rPr>
          <w:tab/>
        </w:r>
        <w:r>
          <w:rPr>
            <w:noProof/>
            <w:webHidden/>
          </w:rPr>
          <w:fldChar w:fldCharType="begin"/>
        </w:r>
        <w:r>
          <w:rPr>
            <w:noProof/>
            <w:webHidden/>
          </w:rPr>
          <w:instrText xml:space="preserve"> PAGEREF _Toc92700756 \h </w:instrText>
        </w:r>
        <w:r>
          <w:rPr>
            <w:noProof/>
            <w:webHidden/>
          </w:rPr>
        </w:r>
        <w:r>
          <w:rPr>
            <w:noProof/>
            <w:webHidden/>
          </w:rPr>
          <w:fldChar w:fldCharType="separate"/>
        </w:r>
        <w:r>
          <w:rPr>
            <w:noProof/>
            <w:webHidden/>
          </w:rPr>
          <w:t>10</w:t>
        </w:r>
        <w:r>
          <w:rPr>
            <w:noProof/>
            <w:webHidden/>
          </w:rPr>
          <w:fldChar w:fldCharType="end"/>
        </w:r>
      </w:hyperlink>
    </w:p>
    <w:p>
      <w:pPr>
        <w:pStyle w:val="TM2"/>
        <w:tabs>
          <w:tab w:val="right" w:leader="dot" w:pos="9627"/>
        </w:tabs>
        <w:rPr>
          <w:rFonts w:asciiTheme="minorHAnsi" w:eastAsiaTheme="minorEastAsia" w:hAnsiTheme="minorHAnsi" w:cstheme="minorBidi"/>
          <w:b w:val="0"/>
          <w:sz w:val="22"/>
          <w:szCs w:val="22"/>
        </w:rPr>
      </w:pPr>
      <w:hyperlink w:anchor="_Toc92700757" w:history="1">
        <w:r>
          <w:rPr>
            <w:rStyle w:val="Lienhypertexte"/>
          </w:rPr>
          <w:t>1.6. Bilan des Charges</w:t>
        </w:r>
        <w:r>
          <w:rPr>
            <w:webHidden/>
          </w:rPr>
          <w:tab/>
        </w:r>
        <w:r>
          <w:rPr>
            <w:webHidden/>
          </w:rPr>
          <w:fldChar w:fldCharType="begin"/>
        </w:r>
        <w:r>
          <w:rPr>
            <w:webHidden/>
          </w:rPr>
          <w:instrText xml:space="preserve"> PAGEREF _Toc92700757 \h </w:instrText>
        </w:r>
        <w:r>
          <w:rPr>
            <w:webHidden/>
          </w:rPr>
        </w:r>
        <w:r>
          <w:rPr>
            <w:webHidden/>
          </w:rPr>
          <w:fldChar w:fldCharType="separate"/>
        </w:r>
        <w:r>
          <w:rPr>
            <w:webHidden/>
          </w:rPr>
          <w:t>13</w:t>
        </w:r>
        <w:r>
          <w:rPr>
            <w:webHidden/>
          </w:rPr>
          <w:fldChar w:fldCharType="end"/>
        </w:r>
      </w:hyperlink>
    </w:p>
    <w:p>
      <w:pPr>
        <w:pStyle w:val="TM1"/>
        <w:tabs>
          <w:tab w:val="right" w:leader="dot" w:pos="9627"/>
        </w:tabs>
        <w:rPr>
          <w:rFonts w:asciiTheme="minorHAnsi" w:eastAsiaTheme="minorEastAsia" w:hAnsiTheme="minorHAnsi" w:cstheme="minorBidi"/>
          <w:b w:val="0"/>
          <w:caps w:val="0"/>
          <w:sz w:val="22"/>
          <w:szCs w:val="22"/>
        </w:rPr>
      </w:pPr>
      <w:hyperlink w:anchor="_Toc92700758" w:history="1">
        <w:r>
          <w:rPr>
            <w:rStyle w:val="Lienhypertexte"/>
          </w:rPr>
          <w:t>2. Scenarios sur la collecte et le traitement des eaux usées</w:t>
        </w:r>
        <w:r>
          <w:rPr>
            <w:webHidden/>
          </w:rPr>
          <w:tab/>
        </w:r>
        <w:r>
          <w:rPr>
            <w:webHidden/>
          </w:rPr>
          <w:fldChar w:fldCharType="begin"/>
        </w:r>
        <w:r>
          <w:rPr>
            <w:webHidden/>
          </w:rPr>
          <w:instrText xml:space="preserve"> PAGEREF _Toc92700758 \h </w:instrText>
        </w:r>
        <w:r>
          <w:rPr>
            <w:webHidden/>
          </w:rPr>
        </w:r>
        <w:r>
          <w:rPr>
            <w:webHidden/>
          </w:rPr>
          <w:fldChar w:fldCharType="separate"/>
        </w:r>
        <w:r>
          <w:rPr>
            <w:webHidden/>
          </w:rPr>
          <w:t>14</w:t>
        </w:r>
        <w:r>
          <w:rPr>
            <w:webHidden/>
          </w:rPr>
          <w:fldChar w:fldCharType="end"/>
        </w:r>
      </w:hyperlink>
    </w:p>
    <w:p>
      <w:pPr>
        <w:pStyle w:val="TM2"/>
        <w:tabs>
          <w:tab w:val="right" w:leader="dot" w:pos="9627"/>
        </w:tabs>
        <w:rPr>
          <w:rFonts w:asciiTheme="minorHAnsi" w:eastAsiaTheme="minorEastAsia" w:hAnsiTheme="minorHAnsi" w:cstheme="minorBidi"/>
          <w:b w:val="0"/>
          <w:sz w:val="22"/>
          <w:szCs w:val="22"/>
        </w:rPr>
      </w:pPr>
      <w:hyperlink w:anchor="_Toc92700759" w:history="1">
        <w:r>
          <w:rPr>
            <w:rStyle w:val="Lienhypertexte"/>
          </w:rPr>
          <w:t>2.1. Extension du réseau de collecte suite au zonage d’assainissement</w:t>
        </w:r>
        <w:r>
          <w:rPr>
            <w:webHidden/>
          </w:rPr>
          <w:tab/>
        </w:r>
        <w:r>
          <w:rPr>
            <w:webHidden/>
          </w:rPr>
          <w:fldChar w:fldCharType="begin"/>
        </w:r>
        <w:r>
          <w:rPr>
            <w:webHidden/>
          </w:rPr>
          <w:instrText xml:space="preserve"> PAGEREF _Toc92700759 \h </w:instrText>
        </w:r>
        <w:r>
          <w:rPr>
            <w:webHidden/>
          </w:rPr>
        </w:r>
        <w:r>
          <w:rPr>
            <w:webHidden/>
          </w:rPr>
          <w:fldChar w:fldCharType="separate"/>
        </w:r>
        <w:r>
          <w:rPr>
            <w:webHidden/>
          </w:rPr>
          <w:t>14</w:t>
        </w:r>
        <w:r>
          <w:rPr>
            <w:webHidden/>
          </w:rPr>
          <w:fldChar w:fldCharType="end"/>
        </w:r>
      </w:hyperlink>
    </w:p>
    <w:p>
      <w:pPr>
        <w:pStyle w:val="TM2"/>
        <w:tabs>
          <w:tab w:val="right" w:leader="dot" w:pos="9627"/>
        </w:tabs>
        <w:rPr>
          <w:rFonts w:asciiTheme="minorHAnsi" w:eastAsiaTheme="minorEastAsia" w:hAnsiTheme="minorHAnsi" w:cstheme="minorBidi"/>
          <w:b w:val="0"/>
          <w:sz w:val="22"/>
          <w:szCs w:val="22"/>
        </w:rPr>
      </w:pPr>
      <w:hyperlink w:anchor="_Toc92700760" w:history="1">
        <w:r>
          <w:rPr>
            <w:rStyle w:val="Lienhypertexte"/>
          </w:rPr>
          <w:t>2.2. Traitement des eaux usées</w:t>
        </w:r>
        <w:r>
          <w:rPr>
            <w:webHidden/>
          </w:rPr>
          <w:tab/>
        </w:r>
        <w:r>
          <w:rPr>
            <w:webHidden/>
          </w:rPr>
          <w:fldChar w:fldCharType="begin"/>
        </w:r>
        <w:r>
          <w:rPr>
            <w:webHidden/>
          </w:rPr>
          <w:instrText xml:space="preserve"> PAGEREF _Toc92700760 \h </w:instrText>
        </w:r>
        <w:r>
          <w:rPr>
            <w:webHidden/>
          </w:rPr>
        </w:r>
        <w:r>
          <w:rPr>
            <w:webHidden/>
          </w:rPr>
          <w:fldChar w:fldCharType="separate"/>
        </w:r>
        <w:r>
          <w:rPr>
            <w:webHidden/>
          </w:rPr>
          <w:t>15</w:t>
        </w:r>
        <w:r>
          <w:rPr>
            <w:webHidden/>
          </w:rPr>
          <w:fldChar w:fldCharType="end"/>
        </w:r>
      </w:hyperlink>
    </w:p>
    <w:p>
      <w:pPr>
        <w:pStyle w:val="TM3"/>
        <w:tabs>
          <w:tab w:val="right" w:leader="dot" w:pos="9627"/>
        </w:tabs>
        <w:rPr>
          <w:rFonts w:asciiTheme="minorHAnsi" w:eastAsiaTheme="minorEastAsia" w:hAnsiTheme="minorHAnsi" w:cstheme="minorBidi"/>
          <w:noProof/>
          <w:sz w:val="22"/>
          <w:szCs w:val="22"/>
        </w:rPr>
      </w:pPr>
      <w:hyperlink w:anchor="_Toc92700761" w:history="1">
        <w:r>
          <w:rPr>
            <w:rStyle w:val="Lienhypertexte"/>
            <w:noProof/>
          </w:rPr>
          <w:t>2.2.1. Charges à considérer</w:t>
        </w:r>
        <w:r>
          <w:rPr>
            <w:noProof/>
            <w:webHidden/>
          </w:rPr>
          <w:tab/>
        </w:r>
        <w:r>
          <w:rPr>
            <w:noProof/>
            <w:webHidden/>
          </w:rPr>
          <w:fldChar w:fldCharType="begin"/>
        </w:r>
        <w:r>
          <w:rPr>
            <w:noProof/>
            <w:webHidden/>
          </w:rPr>
          <w:instrText xml:space="preserve"> PAGEREF _Toc92700761 \h </w:instrText>
        </w:r>
        <w:r>
          <w:rPr>
            <w:noProof/>
            <w:webHidden/>
          </w:rPr>
        </w:r>
        <w:r>
          <w:rPr>
            <w:noProof/>
            <w:webHidden/>
          </w:rPr>
          <w:fldChar w:fldCharType="separate"/>
        </w:r>
        <w:r>
          <w:rPr>
            <w:noProof/>
            <w:webHidden/>
          </w:rPr>
          <w:t>15</w:t>
        </w:r>
        <w:r>
          <w:rPr>
            <w:noProof/>
            <w:webHidden/>
          </w:rPr>
          <w:fldChar w:fldCharType="end"/>
        </w:r>
      </w:hyperlink>
    </w:p>
    <w:p>
      <w:pPr>
        <w:pStyle w:val="TM3"/>
        <w:tabs>
          <w:tab w:val="right" w:leader="dot" w:pos="9627"/>
        </w:tabs>
        <w:rPr>
          <w:rFonts w:asciiTheme="minorHAnsi" w:eastAsiaTheme="minorEastAsia" w:hAnsiTheme="minorHAnsi" w:cstheme="minorBidi"/>
          <w:noProof/>
          <w:sz w:val="22"/>
          <w:szCs w:val="22"/>
        </w:rPr>
      </w:pPr>
      <w:hyperlink w:anchor="_Toc92700762" w:history="1">
        <w:r>
          <w:rPr>
            <w:rStyle w:val="Lienhypertexte"/>
            <w:noProof/>
          </w:rPr>
          <w:t>2.2.2. Réduction des eaux parasites</w:t>
        </w:r>
        <w:r>
          <w:rPr>
            <w:noProof/>
            <w:webHidden/>
          </w:rPr>
          <w:tab/>
        </w:r>
        <w:r>
          <w:rPr>
            <w:noProof/>
            <w:webHidden/>
          </w:rPr>
          <w:fldChar w:fldCharType="begin"/>
        </w:r>
        <w:r>
          <w:rPr>
            <w:noProof/>
            <w:webHidden/>
          </w:rPr>
          <w:instrText xml:space="preserve"> PAGEREF _Toc92700762 \h </w:instrText>
        </w:r>
        <w:r>
          <w:rPr>
            <w:noProof/>
            <w:webHidden/>
          </w:rPr>
        </w:r>
        <w:r>
          <w:rPr>
            <w:noProof/>
            <w:webHidden/>
          </w:rPr>
          <w:fldChar w:fldCharType="separate"/>
        </w:r>
        <w:r>
          <w:rPr>
            <w:noProof/>
            <w:webHidden/>
          </w:rPr>
          <w:t>17</w:t>
        </w:r>
        <w:r>
          <w:rPr>
            <w:noProof/>
            <w:webHidden/>
          </w:rPr>
          <w:fldChar w:fldCharType="end"/>
        </w:r>
      </w:hyperlink>
    </w:p>
    <w:p>
      <w:pPr>
        <w:pStyle w:val="TM3"/>
        <w:tabs>
          <w:tab w:val="right" w:leader="dot" w:pos="9627"/>
        </w:tabs>
        <w:rPr>
          <w:rFonts w:asciiTheme="minorHAnsi" w:eastAsiaTheme="minorEastAsia" w:hAnsiTheme="minorHAnsi" w:cstheme="minorBidi"/>
          <w:noProof/>
          <w:sz w:val="22"/>
          <w:szCs w:val="22"/>
        </w:rPr>
      </w:pPr>
      <w:hyperlink w:anchor="_Toc92700763" w:history="1">
        <w:r>
          <w:rPr>
            <w:rStyle w:val="Lienhypertexte"/>
            <w:noProof/>
          </w:rPr>
          <w:t>2.2.3. Bilan des charges futures 2040 collectées vers la STEU après suppression des eaux parasites</w:t>
        </w:r>
        <w:r>
          <w:rPr>
            <w:noProof/>
            <w:webHidden/>
          </w:rPr>
          <w:tab/>
        </w:r>
        <w:r>
          <w:rPr>
            <w:noProof/>
            <w:webHidden/>
          </w:rPr>
          <w:fldChar w:fldCharType="begin"/>
        </w:r>
        <w:r>
          <w:rPr>
            <w:noProof/>
            <w:webHidden/>
          </w:rPr>
          <w:instrText xml:space="preserve"> PAGEREF _Toc92700763 \h </w:instrText>
        </w:r>
        <w:r>
          <w:rPr>
            <w:noProof/>
            <w:webHidden/>
          </w:rPr>
        </w:r>
        <w:r>
          <w:rPr>
            <w:noProof/>
            <w:webHidden/>
          </w:rPr>
          <w:fldChar w:fldCharType="separate"/>
        </w:r>
        <w:r>
          <w:rPr>
            <w:noProof/>
            <w:webHidden/>
          </w:rPr>
          <w:t>18</w:t>
        </w:r>
        <w:r>
          <w:rPr>
            <w:noProof/>
            <w:webHidden/>
          </w:rPr>
          <w:fldChar w:fldCharType="end"/>
        </w:r>
      </w:hyperlink>
    </w:p>
    <w:p>
      <w:pPr>
        <w:pStyle w:val="TM3"/>
        <w:tabs>
          <w:tab w:val="right" w:leader="dot" w:pos="9627"/>
        </w:tabs>
        <w:rPr>
          <w:rFonts w:asciiTheme="minorHAnsi" w:eastAsiaTheme="minorEastAsia" w:hAnsiTheme="minorHAnsi" w:cstheme="minorBidi"/>
          <w:noProof/>
          <w:sz w:val="22"/>
          <w:szCs w:val="22"/>
        </w:rPr>
      </w:pPr>
      <w:hyperlink w:anchor="_Toc92700764" w:history="1">
        <w:r>
          <w:rPr>
            <w:rStyle w:val="Lienhypertexte"/>
            <w:noProof/>
          </w:rPr>
          <w:t>2.2.4. Conclusion</w:t>
        </w:r>
        <w:r>
          <w:rPr>
            <w:noProof/>
            <w:webHidden/>
          </w:rPr>
          <w:tab/>
        </w:r>
        <w:r>
          <w:rPr>
            <w:noProof/>
            <w:webHidden/>
          </w:rPr>
          <w:fldChar w:fldCharType="begin"/>
        </w:r>
        <w:r>
          <w:rPr>
            <w:noProof/>
            <w:webHidden/>
          </w:rPr>
          <w:instrText xml:space="preserve"> PAGEREF _Toc92700764 \h </w:instrText>
        </w:r>
        <w:r>
          <w:rPr>
            <w:noProof/>
            <w:webHidden/>
          </w:rPr>
        </w:r>
        <w:r>
          <w:rPr>
            <w:noProof/>
            <w:webHidden/>
          </w:rPr>
          <w:fldChar w:fldCharType="separate"/>
        </w:r>
        <w:r>
          <w:rPr>
            <w:noProof/>
            <w:webHidden/>
          </w:rPr>
          <w:t>19</w:t>
        </w:r>
        <w:r>
          <w:rPr>
            <w:noProof/>
            <w:webHidden/>
          </w:rPr>
          <w:fldChar w:fldCharType="end"/>
        </w:r>
      </w:hyperlink>
    </w:p>
    <w:p>
      <w:pPr>
        <w:pStyle w:val="TM1"/>
        <w:tabs>
          <w:tab w:val="right" w:leader="dot" w:pos="9627"/>
        </w:tabs>
        <w:rPr>
          <w:rFonts w:asciiTheme="minorHAnsi" w:eastAsiaTheme="minorEastAsia" w:hAnsiTheme="minorHAnsi" w:cstheme="minorBidi"/>
          <w:b w:val="0"/>
          <w:caps w:val="0"/>
          <w:sz w:val="22"/>
          <w:szCs w:val="22"/>
        </w:rPr>
      </w:pPr>
      <w:hyperlink w:anchor="_Toc92700765" w:history="1">
        <w:r>
          <w:rPr>
            <w:rStyle w:val="Lienhypertexte"/>
          </w:rPr>
          <w:t>3. Programme de travaux</w:t>
        </w:r>
        <w:r>
          <w:rPr>
            <w:webHidden/>
          </w:rPr>
          <w:tab/>
        </w:r>
        <w:r>
          <w:rPr>
            <w:webHidden/>
          </w:rPr>
          <w:fldChar w:fldCharType="begin"/>
        </w:r>
        <w:r>
          <w:rPr>
            <w:webHidden/>
          </w:rPr>
          <w:instrText xml:space="preserve"> PAGEREF _Toc92700765 \h </w:instrText>
        </w:r>
        <w:r>
          <w:rPr>
            <w:webHidden/>
          </w:rPr>
        </w:r>
        <w:r>
          <w:rPr>
            <w:webHidden/>
          </w:rPr>
          <w:fldChar w:fldCharType="separate"/>
        </w:r>
        <w:r>
          <w:rPr>
            <w:webHidden/>
          </w:rPr>
          <w:t>20</w:t>
        </w:r>
        <w:r>
          <w:rPr>
            <w:webHidden/>
          </w:rPr>
          <w:fldChar w:fldCharType="end"/>
        </w:r>
      </w:hyperlink>
    </w:p>
    <w:p>
      <w:pPr>
        <w:pStyle w:val="TM2"/>
        <w:tabs>
          <w:tab w:val="right" w:leader="dot" w:pos="9627"/>
        </w:tabs>
        <w:rPr>
          <w:rFonts w:asciiTheme="minorHAnsi" w:eastAsiaTheme="minorEastAsia" w:hAnsiTheme="minorHAnsi" w:cstheme="minorBidi"/>
          <w:b w:val="0"/>
          <w:sz w:val="22"/>
          <w:szCs w:val="22"/>
        </w:rPr>
      </w:pPr>
      <w:hyperlink w:anchor="_Toc92700766" w:history="1">
        <w:r>
          <w:rPr>
            <w:rStyle w:val="Lienhypertexte"/>
          </w:rPr>
          <w:t>3.1. Structure du programme de travaux</w:t>
        </w:r>
        <w:r>
          <w:rPr>
            <w:webHidden/>
          </w:rPr>
          <w:tab/>
        </w:r>
        <w:r>
          <w:rPr>
            <w:webHidden/>
          </w:rPr>
          <w:fldChar w:fldCharType="begin"/>
        </w:r>
        <w:r>
          <w:rPr>
            <w:webHidden/>
          </w:rPr>
          <w:instrText xml:space="preserve"> PAGEREF _Toc92700766 \h </w:instrText>
        </w:r>
        <w:r>
          <w:rPr>
            <w:webHidden/>
          </w:rPr>
        </w:r>
        <w:r>
          <w:rPr>
            <w:webHidden/>
          </w:rPr>
          <w:fldChar w:fldCharType="separate"/>
        </w:r>
        <w:r>
          <w:rPr>
            <w:webHidden/>
          </w:rPr>
          <w:t>20</w:t>
        </w:r>
        <w:r>
          <w:rPr>
            <w:webHidden/>
          </w:rPr>
          <w:fldChar w:fldCharType="end"/>
        </w:r>
      </w:hyperlink>
    </w:p>
    <w:p>
      <w:pPr>
        <w:pStyle w:val="TM2"/>
        <w:tabs>
          <w:tab w:val="right" w:leader="dot" w:pos="9627"/>
        </w:tabs>
        <w:rPr>
          <w:rFonts w:asciiTheme="minorHAnsi" w:eastAsiaTheme="minorEastAsia" w:hAnsiTheme="minorHAnsi" w:cstheme="minorBidi"/>
          <w:b w:val="0"/>
          <w:sz w:val="22"/>
          <w:szCs w:val="22"/>
        </w:rPr>
      </w:pPr>
      <w:hyperlink w:anchor="_Toc92700767" w:history="1">
        <w:r>
          <w:rPr>
            <w:rStyle w:val="Lienhypertexte"/>
          </w:rPr>
          <w:t>3.2. Thématique 1 : Suppression des eaux claires parasites de temps de pluie</w:t>
        </w:r>
        <w:r>
          <w:rPr>
            <w:webHidden/>
          </w:rPr>
          <w:tab/>
        </w:r>
        <w:r>
          <w:rPr>
            <w:webHidden/>
          </w:rPr>
          <w:fldChar w:fldCharType="begin"/>
        </w:r>
        <w:r>
          <w:rPr>
            <w:webHidden/>
          </w:rPr>
          <w:instrText xml:space="preserve"> PAGEREF _Toc92700767 \h </w:instrText>
        </w:r>
        <w:r>
          <w:rPr>
            <w:webHidden/>
          </w:rPr>
        </w:r>
        <w:r>
          <w:rPr>
            <w:webHidden/>
          </w:rPr>
          <w:fldChar w:fldCharType="separate"/>
        </w:r>
        <w:r>
          <w:rPr>
            <w:webHidden/>
          </w:rPr>
          <w:t>21</w:t>
        </w:r>
        <w:r>
          <w:rPr>
            <w:webHidden/>
          </w:rPr>
          <w:fldChar w:fldCharType="end"/>
        </w:r>
      </w:hyperlink>
    </w:p>
    <w:p>
      <w:pPr>
        <w:pStyle w:val="TM3"/>
        <w:tabs>
          <w:tab w:val="right" w:leader="dot" w:pos="9627"/>
        </w:tabs>
        <w:rPr>
          <w:rFonts w:asciiTheme="minorHAnsi" w:eastAsiaTheme="minorEastAsia" w:hAnsiTheme="minorHAnsi" w:cstheme="minorBidi"/>
          <w:noProof/>
          <w:sz w:val="22"/>
          <w:szCs w:val="22"/>
        </w:rPr>
      </w:pPr>
      <w:hyperlink w:anchor="_Toc92700768" w:history="1">
        <w:r>
          <w:rPr>
            <w:rStyle w:val="Lienhypertexte"/>
            <w:noProof/>
          </w:rPr>
          <w:t>3.2.1. Action 1 : Déconnexion et suppression des surfaces actives raccordées au système de collecte – hors boite de branchement et regard</w:t>
        </w:r>
        <w:r>
          <w:rPr>
            <w:noProof/>
            <w:webHidden/>
          </w:rPr>
          <w:tab/>
        </w:r>
        <w:r>
          <w:rPr>
            <w:noProof/>
            <w:webHidden/>
          </w:rPr>
          <w:fldChar w:fldCharType="begin"/>
        </w:r>
        <w:r>
          <w:rPr>
            <w:noProof/>
            <w:webHidden/>
          </w:rPr>
          <w:instrText xml:space="preserve"> PAGEREF _Toc92700768 \h </w:instrText>
        </w:r>
        <w:r>
          <w:rPr>
            <w:noProof/>
            <w:webHidden/>
          </w:rPr>
        </w:r>
        <w:r>
          <w:rPr>
            <w:noProof/>
            <w:webHidden/>
          </w:rPr>
          <w:fldChar w:fldCharType="separate"/>
        </w:r>
        <w:r>
          <w:rPr>
            <w:noProof/>
            <w:webHidden/>
          </w:rPr>
          <w:t>21</w:t>
        </w:r>
        <w:r>
          <w:rPr>
            <w:noProof/>
            <w:webHidden/>
          </w:rPr>
          <w:fldChar w:fldCharType="end"/>
        </w:r>
      </w:hyperlink>
    </w:p>
    <w:p>
      <w:pPr>
        <w:pStyle w:val="TM3"/>
        <w:tabs>
          <w:tab w:val="right" w:leader="dot" w:pos="9627"/>
        </w:tabs>
        <w:rPr>
          <w:rFonts w:asciiTheme="minorHAnsi" w:eastAsiaTheme="minorEastAsia" w:hAnsiTheme="minorHAnsi" w:cstheme="minorBidi"/>
          <w:noProof/>
          <w:sz w:val="22"/>
          <w:szCs w:val="22"/>
        </w:rPr>
      </w:pPr>
      <w:hyperlink w:anchor="_Toc92700769" w:history="1">
        <w:r>
          <w:rPr>
            <w:rStyle w:val="Lienhypertexte"/>
            <w:noProof/>
          </w:rPr>
          <w:t>3.2.2. Action 2 : Réhabilitation des tampons de regards de visite ou de branchements responsables d'apports d'eaux claires parasites</w:t>
        </w:r>
        <w:r>
          <w:rPr>
            <w:noProof/>
            <w:webHidden/>
          </w:rPr>
          <w:tab/>
        </w:r>
        <w:r>
          <w:rPr>
            <w:noProof/>
            <w:webHidden/>
          </w:rPr>
          <w:fldChar w:fldCharType="begin"/>
        </w:r>
        <w:r>
          <w:rPr>
            <w:noProof/>
            <w:webHidden/>
          </w:rPr>
          <w:instrText xml:space="preserve"> PAGEREF _Toc92700769 \h </w:instrText>
        </w:r>
        <w:r>
          <w:rPr>
            <w:noProof/>
            <w:webHidden/>
          </w:rPr>
        </w:r>
        <w:r>
          <w:rPr>
            <w:noProof/>
            <w:webHidden/>
          </w:rPr>
          <w:fldChar w:fldCharType="separate"/>
        </w:r>
        <w:r>
          <w:rPr>
            <w:noProof/>
            <w:webHidden/>
          </w:rPr>
          <w:t>22</w:t>
        </w:r>
        <w:r>
          <w:rPr>
            <w:noProof/>
            <w:webHidden/>
          </w:rPr>
          <w:fldChar w:fldCharType="end"/>
        </w:r>
      </w:hyperlink>
    </w:p>
    <w:p>
      <w:pPr>
        <w:pStyle w:val="TM3"/>
        <w:tabs>
          <w:tab w:val="right" w:leader="dot" w:pos="9627"/>
        </w:tabs>
        <w:rPr>
          <w:rFonts w:asciiTheme="minorHAnsi" w:eastAsiaTheme="minorEastAsia" w:hAnsiTheme="minorHAnsi" w:cstheme="minorBidi"/>
          <w:noProof/>
          <w:sz w:val="22"/>
          <w:szCs w:val="22"/>
        </w:rPr>
      </w:pPr>
      <w:hyperlink w:anchor="_Toc92700770" w:history="1">
        <w:r>
          <w:rPr>
            <w:rStyle w:val="Lienhypertexte"/>
            <w:noProof/>
          </w:rPr>
          <w:t>3.2.3. Action 3 : Réalisation d’un programme de contrôle des branchements particuliers dont les anomalies n’ont pu être constatées lors des tests à la fumée</w:t>
        </w:r>
        <w:r>
          <w:rPr>
            <w:noProof/>
            <w:webHidden/>
          </w:rPr>
          <w:tab/>
        </w:r>
        <w:r>
          <w:rPr>
            <w:noProof/>
            <w:webHidden/>
          </w:rPr>
          <w:fldChar w:fldCharType="begin"/>
        </w:r>
        <w:r>
          <w:rPr>
            <w:noProof/>
            <w:webHidden/>
          </w:rPr>
          <w:instrText xml:space="preserve"> PAGEREF _Toc92700770 \h </w:instrText>
        </w:r>
        <w:r>
          <w:rPr>
            <w:noProof/>
            <w:webHidden/>
          </w:rPr>
        </w:r>
        <w:r>
          <w:rPr>
            <w:noProof/>
            <w:webHidden/>
          </w:rPr>
          <w:fldChar w:fldCharType="separate"/>
        </w:r>
        <w:r>
          <w:rPr>
            <w:noProof/>
            <w:webHidden/>
          </w:rPr>
          <w:t>25</w:t>
        </w:r>
        <w:r>
          <w:rPr>
            <w:noProof/>
            <w:webHidden/>
          </w:rPr>
          <w:fldChar w:fldCharType="end"/>
        </w:r>
      </w:hyperlink>
    </w:p>
    <w:p>
      <w:pPr>
        <w:pStyle w:val="TM2"/>
        <w:tabs>
          <w:tab w:val="right" w:leader="dot" w:pos="9627"/>
        </w:tabs>
        <w:rPr>
          <w:rFonts w:asciiTheme="minorHAnsi" w:eastAsiaTheme="minorEastAsia" w:hAnsiTheme="minorHAnsi" w:cstheme="minorBidi"/>
          <w:b w:val="0"/>
          <w:sz w:val="22"/>
          <w:szCs w:val="22"/>
        </w:rPr>
      </w:pPr>
      <w:hyperlink w:anchor="_Toc92700771" w:history="1">
        <w:r>
          <w:rPr>
            <w:rStyle w:val="Lienhypertexte"/>
          </w:rPr>
          <w:t>3.3. Thématique 2 : Suppression des eaux claires parasites de temps sec et/ou ressuyage</w:t>
        </w:r>
        <w:r>
          <w:rPr>
            <w:webHidden/>
          </w:rPr>
          <w:tab/>
        </w:r>
        <w:r>
          <w:rPr>
            <w:webHidden/>
          </w:rPr>
          <w:fldChar w:fldCharType="begin"/>
        </w:r>
        <w:r>
          <w:rPr>
            <w:webHidden/>
          </w:rPr>
          <w:instrText xml:space="preserve"> PAGEREF _Toc92700771 \h </w:instrText>
        </w:r>
        <w:r>
          <w:rPr>
            <w:webHidden/>
          </w:rPr>
        </w:r>
        <w:r>
          <w:rPr>
            <w:webHidden/>
          </w:rPr>
          <w:fldChar w:fldCharType="separate"/>
        </w:r>
        <w:r>
          <w:rPr>
            <w:webHidden/>
          </w:rPr>
          <w:t>25</w:t>
        </w:r>
        <w:r>
          <w:rPr>
            <w:webHidden/>
          </w:rPr>
          <w:fldChar w:fldCharType="end"/>
        </w:r>
      </w:hyperlink>
    </w:p>
    <w:p>
      <w:pPr>
        <w:pStyle w:val="TM3"/>
        <w:tabs>
          <w:tab w:val="right" w:leader="dot" w:pos="9627"/>
        </w:tabs>
        <w:rPr>
          <w:rFonts w:asciiTheme="minorHAnsi" w:eastAsiaTheme="minorEastAsia" w:hAnsiTheme="minorHAnsi" w:cstheme="minorBidi"/>
          <w:noProof/>
          <w:sz w:val="22"/>
          <w:szCs w:val="22"/>
        </w:rPr>
      </w:pPr>
      <w:hyperlink w:anchor="_Toc92700772" w:history="1">
        <w:r>
          <w:rPr>
            <w:rStyle w:val="Lienhypertexte"/>
            <w:noProof/>
          </w:rPr>
          <w:t>3.3.1. Action n°4 : Réhabilitation ou renouvellement des tronçons responsables d'apports d'eaux claires parasites</w:t>
        </w:r>
        <w:r>
          <w:rPr>
            <w:noProof/>
            <w:webHidden/>
          </w:rPr>
          <w:tab/>
        </w:r>
        <w:r>
          <w:rPr>
            <w:noProof/>
            <w:webHidden/>
          </w:rPr>
          <w:fldChar w:fldCharType="begin"/>
        </w:r>
        <w:r>
          <w:rPr>
            <w:noProof/>
            <w:webHidden/>
          </w:rPr>
          <w:instrText xml:space="preserve"> PAGEREF _Toc92700772 \h </w:instrText>
        </w:r>
        <w:r>
          <w:rPr>
            <w:noProof/>
            <w:webHidden/>
          </w:rPr>
        </w:r>
        <w:r>
          <w:rPr>
            <w:noProof/>
            <w:webHidden/>
          </w:rPr>
          <w:fldChar w:fldCharType="separate"/>
        </w:r>
        <w:r>
          <w:rPr>
            <w:noProof/>
            <w:webHidden/>
          </w:rPr>
          <w:t>25</w:t>
        </w:r>
        <w:r>
          <w:rPr>
            <w:noProof/>
            <w:webHidden/>
          </w:rPr>
          <w:fldChar w:fldCharType="end"/>
        </w:r>
      </w:hyperlink>
    </w:p>
    <w:p>
      <w:pPr>
        <w:pStyle w:val="TM2"/>
        <w:tabs>
          <w:tab w:val="right" w:leader="dot" w:pos="9627"/>
        </w:tabs>
        <w:rPr>
          <w:rFonts w:asciiTheme="minorHAnsi" w:eastAsiaTheme="minorEastAsia" w:hAnsiTheme="minorHAnsi" w:cstheme="minorBidi"/>
          <w:b w:val="0"/>
          <w:sz w:val="22"/>
          <w:szCs w:val="22"/>
        </w:rPr>
      </w:pPr>
      <w:hyperlink w:anchor="_Toc92700773" w:history="1">
        <w:r>
          <w:rPr>
            <w:rStyle w:val="Lienhypertexte"/>
          </w:rPr>
          <w:t>3.4. Thématique 3 : Réhabilitation des réseaux et regards de visite</w:t>
        </w:r>
        <w:r>
          <w:rPr>
            <w:webHidden/>
          </w:rPr>
          <w:tab/>
        </w:r>
        <w:r>
          <w:rPr>
            <w:webHidden/>
          </w:rPr>
          <w:fldChar w:fldCharType="begin"/>
        </w:r>
        <w:r>
          <w:rPr>
            <w:webHidden/>
          </w:rPr>
          <w:instrText xml:space="preserve"> PAGEREF _Toc92700773 \h </w:instrText>
        </w:r>
        <w:r>
          <w:rPr>
            <w:webHidden/>
          </w:rPr>
        </w:r>
        <w:r>
          <w:rPr>
            <w:webHidden/>
          </w:rPr>
          <w:fldChar w:fldCharType="separate"/>
        </w:r>
        <w:r>
          <w:rPr>
            <w:webHidden/>
          </w:rPr>
          <w:t>26</w:t>
        </w:r>
        <w:r>
          <w:rPr>
            <w:webHidden/>
          </w:rPr>
          <w:fldChar w:fldCharType="end"/>
        </w:r>
      </w:hyperlink>
    </w:p>
    <w:p>
      <w:pPr>
        <w:pStyle w:val="TM3"/>
        <w:tabs>
          <w:tab w:val="right" w:leader="dot" w:pos="9627"/>
        </w:tabs>
        <w:rPr>
          <w:rFonts w:asciiTheme="minorHAnsi" w:eastAsiaTheme="minorEastAsia" w:hAnsiTheme="minorHAnsi" w:cstheme="minorBidi"/>
          <w:noProof/>
          <w:sz w:val="22"/>
          <w:szCs w:val="22"/>
        </w:rPr>
      </w:pPr>
      <w:hyperlink w:anchor="_Toc92700774" w:history="1">
        <w:r>
          <w:rPr>
            <w:rStyle w:val="Lienhypertexte"/>
            <w:noProof/>
          </w:rPr>
          <w:t>3.4.1. Action n°5 : Réhabilitation ponctuelle des réseaux pouvant être sensibles aux intrusions d'eaux claires parasites</w:t>
        </w:r>
        <w:r>
          <w:rPr>
            <w:noProof/>
            <w:webHidden/>
          </w:rPr>
          <w:tab/>
        </w:r>
        <w:r>
          <w:rPr>
            <w:noProof/>
            <w:webHidden/>
          </w:rPr>
          <w:fldChar w:fldCharType="begin"/>
        </w:r>
        <w:r>
          <w:rPr>
            <w:noProof/>
            <w:webHidden/>
          </w:rPr>
          <w:instrText xml:space="preserve"> PAGEREF _Toc92700774 \h </w:instrText>
        </w:r>
        <w:r>
          <w:rPr>
            <w:noProof/>
            <w:webHidden/>
          </w:rPr>
        </w:r>
        <w:r>
          <w:rPr>
            <w:noProof/>
            <w:webHidden/>
          </w:rPr>
          <w:fldChar w:fldCharType="separate"/>
        </w:r>
        <w:r>
          <w:rPr>
            <w:noProof/>
            <w:webHidden/>
          </w:rPr>
          <w:t>26</w:t>
        </w:r>
        <w:r>
          <w:rPr>
            <w:noProof/>
            <w:webHidden/>
          </w:rPr>
          <w:fldChar w:fldCharType="end"/>
        </w:r>
      </w:hyperlink>
    </w:p>
    <w:p>
      <w:pPr>
        <w:pStyle w:val="TM3"/>
        <w:tabs>
          <w:tab w:val="right" w:leader="dot" w:pos="9627"/>
        </w:tabs>
        <w:rPr>
          <w:rFonts w:asciiTheme="minorHAnsi" w:eastAsiaTheme="minorEastAsia" w:hAnsiTheme="minorHAnsi" w:cstheme="minorBidi"/>
          <w:noProof/>
          <w:sz w:val="22"/>
          <w:szCs w:val="22"/>
        </w:rPr>
      </w:pPr>
      <w:hyperlink w:anchor="_Toc92700775" w:history="1">
        <w:r>
          <w:rPr>
            <w:rStyle w:val="Lienhypertexte"/>
            <w:noProof/>
          </w:rPr>
          <w:t>3.4.2. Action n°6 : Suppression des branchements pénétrants</w:t>
        </w:r>
        <w:r>
          <w:rPr>
            <w:noProof/>
            <w:webHidden/>
          </w:rPr>
          <w:tab/>
        </w:r>
        <w:r>
          <w:rPr>
            <w:noProof/>
            <w:webHidden/>
          </w:rPr>
          <w:fldChar w:fldCharType="begin"/>
        </w:r>
        <w:r>
          <w:rPr>
            <w:noProof/>
            <w:webHidden/>
          </w:rPr>
          <w:instrText xml:space="preserve"> PAGEREF _Toc92700775 \h </w:instrText>
        </w:r>
        <w:r>
          <w:rPr>
            <w:noProof/>
            <w:webHidden/>
          </w:rPr>
        </w:r>
        <w:r>
          <w:rPr>
            <w:noProof/>
            <w:webHidden/>
          </w:rPr>
          <w:fldChar w:fldCharType="separate"/>
        </w:r>
        <w:r>
          <w:rPr>
            <w:noProof/>
            <w:webHidden/>
          </w:rPr>
          <w:t>26</w:t>
        </w:r>
        <w:r>
          <w:rPr>
            <w:noProof/>
            <w:webHidden/>
          </w:rPr>
          <w:fldChar w:fldCharType="end"/>
        </w:r>
      </w:hyperlink>
    </w:p>
    <w:p>
      <w:pPr>
        <w:pStyle w:val="TM3"/>
        <w:tabs>
          <w:tab w:val="right" w:leader="dot" w:pos="9627"/>
        </w:tabs>
        <w:rPr>
          <w:rFonts w:asciiTheme="minorHAnsi" w:eastAsiaTheme="minorEastAsia" w:hAnsiTheme="minorHAnsi" w:cstheme="minorBidi"/>
          <w:noProof/>
          <w:sz w:val="22"/>
          <w:szCs w:val="22"/>
        </w:rPr>
      </w:pPr>
      <w:hyperlink w:anchor="_Toc92700776" w:history="1">
        <w:r>
          <w:rPr>
            <w:rStyle w:val="Lienhypertexte"/>
            <w:noProof/>
          </w:rPr>
          <w:t>3.4.3. Action n°7 : Réhabilitation des regards de visite vétustes non étanches et/ou présentant des anomalies structurelles</w:t>
        </w:r>
        <w:r>
          <w:rPr>
            <w:noProof/>
            <w:webHidden/>
          </w:rPr>
          <w:tab/>
        </w:r>
        <w:r>
          <w:rPr>
            <w:noProof/>
            <w:webHidden/>
          </w:rPr>
          <w:fldChar w:fldCharType="begin"/>
        </w:r>
        <w:r>
          <w:rPr>
            <w:noProof/>
            <w:webHidden/>
          </w:rPr>
          <w:instrText xml:space="preserve"> PAGEREF _Toc92700776 \h </w:instrText>
        </w:r>
        <w:r>
          <w:rPr>
            <w:noProof/>
            <w:webHidden/>
          </w:rPr>
        </w:r>
        <w:r>
          <w:rPr>
            <w:noProof/>
            <w:webHidden/>
          </w:rPr>
          <w:fldChar w:fldCharType="separate"/>
        </w:r>
        <w:r>
          <w:rPr>
            <w:noProof/>
            <w:webHidden/>
          </w:rPr>
          <w:t>27</w:t>
        </w:r>
        <w:r>
          <w:rPr>
            <w:noProof/>
            <w:webHidden/>
          </w:rPr>
          <w:fldChar w:fldCharType="end"/>
        </w:r>
      </w:hyperlink>
    </w:p>
    <w:p>
      <w:pPr>
        <w:pStyle w:val="TM2"/>
        <w:tabs>
          <w:tab w:val="right" w:leader="dot" w:pos="9627"/>
        </w:tabs>
        <w:rPr>
          <w:rFonts w:asciiTheme="minorHAnsi" w:eastAsiaTheme="minorEastAsia" w:hAnsiTheme="minorHAnsi" w:cstheme="minorBidi"/>
          <w:b w:val="0"/>
          <w:sz w:val="22"/>
          <w:szCs w:val="22"/>
        </w:rPr>
      </w:pPr>
      <w:hyperlink w:anchor="_Toc92700777" w:history="1">
        <w:r>
          <w:rPr>
            <w:rStyle w:val="Lienhypertexte"/>
          </w:rPr>
          <w:t>3.5. Thématique 4 : Réhabilitation des équipements et ouvrages (conformité réglementaire, sécurité et exploitation)</w:t>
        </w:r>
        <w:r>
          <w:rPr>
            <w:webHidden/>
          </w:rPr>
          <w:tab/>
        </w:r>
        <w:r>
          <w:rPr>
            <w:webHidden/>
          </w:rPr>
          <w:fldChar w:fldCharType="begin"/>
        </w:r>
        <w:r>
          <w:rPr>
            <w:webHidden/>
          </w:rPr>
          <w:instrText xml:space="preserve"> PAGEREF _Toc92700777 \h </w:instrText>
        </w:r>
        <w:r>
          <w:rPr>
            <w:webHidden/>
          </w:rPr>
        </w:r>
        <w:r>
          <w:rPr>
            <w:webHidden/>
          </w:rPr>
          <w:fldChar w:fldCharType="separate"/>
        </w:r>
        <w:r>
          <w:rPr>
            <w:webHidden/>
          </w:rPr>
          <w:t>27</w:t>
        </w:r>
        <w:r>
          <w:rPr>
            <w:webHidden/>
          </w:rPr>
          <w:fldChar w:fldCharType="end"/>
        </w:r>
      </w:hyperlink>
    </w:p>
    <w:p>
      <w:pPr>
        <w:pStyle w:val="TM3"/>
        <w:tabs>
          <w:tab w:val="right" w:leader="dot" w:pos="9627"/>
        </w:tabs>
        <w:rPr>
          <w:rFonts w:asciiTheme="minorHAnsi" w:eastAsiaTheme="minorEastAsia" w:hAnsiTheme="minorHAnsi" w:cstheme="minorBidi"/>
          <w:noProof/>
          <w:sz w:val="22"/>
          <w:szCs w:val="22"/>
        </w:rPr>
      </w:pPr>
      <w:hyperlink w:anchor="_Toc92700778" w:history="1">
        <w:r>
          <w:rPr>
            <w:rStyle w:val="Lienhypertexte"/>
            <w:noProof/>
          </w:rPr>
          <w:t>3.5.1. Action n°8 : Réhabilitation des postes de relevage</w:t>
        </w:r>
        <w:r>
          <w:rPr>
            <w:noProof/>
            <w:webHidden/>
          </w:rPr>
          <w:tab/>
        </w:r>
        <w:r>
          <w:rPr>
            <w:noProof/>
            <w:webHidden/>
          </w:rPr>
          <w:fldChar w:fldCharType="begin"/>
        </w:r>
        <w:r>
          <w:rPr>
            <w:noProof/>
            <w:webHidden/>
          </w:rPr>
          <w:instrText xml:space="preserve"> PAGEREF _Toc92700778 \h </w:instrText>
        </w:r>
        <w:r>
          <w:rPr>
            <w:noProof/>
            <w:webHidden/>
          </w:rPr>
        </w:r>
        <w:r>
          <w:rPr>
            <w:noProof/>
            <w:webHidden/>
          </w:rPr>
          <w:fldChar w:fldCharType="separate"/>
        </w:r>
        <w:r>
          <w:rPr>
            <w:noProof/>
            <w:webHidden/>
          </w:rPr>
          <w:t>27</w:t>
        </w:r>
        <w:r>
          <w:rPr>
            <w:noProof/>
            <w:webHidden/>
          </w:rPr>
          <w:fldChar w:fldCharType="end"/>
        </w:r>
      </w:hyperlink>
    </w:p>
    <w:p>
      <w:pPr>
        <w:pStyle w:val="TM3"/>
        <w:tabs>
          <w:tab w:val="right" w:leader="dot" w:pos="9627"/>
        </w:tabs>
        <w:rPr>
          <w:rFonts w:asciiTheme="minorHAnsi" w:eastAsiaTheme="minorEastAsia" w:hAnsiTheme="minorHAnsi" w:cstheme="minorBidi"/>
          <w:noProof/>
          <w:sz w:val="22"/>
          <w:szCs w:val="22"/>
        </w:rPr>
      </w:pPr>
      <w:hyperlink w:anchor="_Toc92700779" w:history="1">
        <w:r>
          <w:rPr>
            <w:rStyle w:val="Lienhypertexte"/>
            <w:noProof/>
          </w:rPr>
          <w:t>3.5.2. Action n°9 : Réhabilitation de l’unité de dépollution</w:t>
        </w:r>
        <w:r>
          <w:rPr>
            <w:noProof/>
            <w:webHidden/>
          </w:rPr>
          <w:tab/>
        </w:r>
        <w:r>
          <w:rPr>
            <w:noProof/>
            <w:webHidden/>
          </w:rPr>
          <w:fldChar w:fldCharType="begin"/>
        </w:r>
        <w:r>
          <w:rPr>
            <w:noProof/>
            <w:webHidden/>
          </w:rPr>
          <w:instrText xml:space="preserve"> PAGEREF _Toc92700779 \h </w:instrText>
        </w:r>
        <w:r>
          <w:rPr>
            <w:noProof/>
            <w:webHidden/>
          </w:rPr>
        </w:r>
        <w:r>
          <w:rPr>
            <w:noProof/>
            <w:webHidden/>
          </w:rPr>
          <w:fldChar w:fldCharType="separate"/>
        </w:r>
        <w:r>
          <w:rPr>
            <w:noProof/>
            <w:webHidden/>
          </w:rPr>
          <w:t>28</w:t>
        </w:r>
        <w:r>
          <w:rPr>
            <w:noProof/>
            <w:webHidden/>
          </w:rPr>
          <w:fldChar w:fldCharType="end"/>
        </w:r>
      </w:hyperlink>
    </w:p>
    <w:p>
      <w:pPr>
        <w:pStyle w:val="TM2"/>
        <w:tabs>
          <w:tab w:val="right" w:leader="dot" w:pos="9627"/>
        </w:tabs>
        <w:rPr>
          <w:rFonts w:asciiTheme="minorHAnsi" w:eastAsiaTheme="minorEastAsia" w:hAnsiTheme="minorHAnsi" w:cstheme="minorBidi"/>
          <w:b w:val="0"/>
          <w:sz w:val="22"/>
          <w:szCs w:val="22"/>
        </w:rPr>
      </w:pPr>
      <w:hyperlink w:anchor="_Toc92700780" w:history="1">
        <w:r>
          <w:rPr>
            <w:rStyle w:val="Lienhypertexte"/>
          </w:rPr>
          <w:t>3.6. Thématique 5 : Modification du schéma de collecte</w:t>
        </w:r>
        <w:r>
          <w:rPr>
            <w:webHidden/>
          </w:rPr>
          <w:tab/>
        </w:r>
        <w:r>
          <w:rPr>
            <w:webHidden/>
          </w:rPr>
          <w:fldChar w:fldCharType="begin"/>
        </w:r>
        <w:r>
          <w:rPr>
            <w:webHidden/>
          </w:rPr>
          <w:instrText xml:space="preserve"> PAGEREF _Toc92700780 \h </w:instrText>
        </w:r>
        <w:r>
          <w:rPr>
            <w:webHidden/>
          </w:rPr>
        </w:r>
        <w:r>
          <w:rPr>
            <w:webHidden/>
          </w:rPr>
          <w:fldChar w:fldCharType="separate"/>
        </w:r>
        <w:r>
          <w:rPr>
            <w:webHidden/>
          </w:rPr>
          <w:t>28</w:t>
        </w:r>
        <w:r>
          <w:rPr>
            <w:webHidden/>
          </w:rPr>
          <w:fldChar w:fldCharType="end"/>
        </w:r>
      </w:hyperlink>
    </w:p>
    <w:p>
      <w:pPr>
        <w:pStyle w:val="TM3"/>
        <w:tabs>
          <w:tab w:val="right" w:leader="dot" w:pos="9627"/>
        </w:tabs>
        <w:rPr>
          <w:rFonts w:asciiTheme="minorHAnsi" w:eastAsiaTheme="minorEastAsia" w:hAnsiTheme="minorHAnsi" w:cstheme="minorBidi"/>
          <w:noProof/>
          <w:sz w:val="22"/>
          <w:szCs w:val="22"/>
        </w:rPr>
      </w:pPr>
      <w:hyperlink w:anchor="_Toc92700781" w:history="1">
        <w:r>
          <w:rPr>
            <w:rStyle w:val="Lienhypertexte"/>
            <w:noProof/>
          </w:rPr>
          <w:t>3.6.1. Action n°10 : Suppression des canalisations avec risques hydrauliques situées en domaine privé</w:t>
        </w:r>
        <w:r>
          <w:rPr>
            <w:noProof/>
            <w:webHidden/>
          </w:rPr>
          <w:tab/>
        </w:r>
        <w:r>
          <w:rPr>
            <w:noProof/>
            <w:webHidden/>
          </w:rPr>
          <w:fldChar w:fldCharType="begin"/>
        </w:r>
        <w:r>
          <w:rPr>
            <w:noProof/>
            <w:webHidden/>
          </w:rPr>
          <w:instrText xml:space="preserve"> PAGEREF _Toc92700781 \h </w:instrText>
        </w:r>
        <w:r>
          <w:rPr>
            <w:noProof/>
            <w:webHidden/>
          </w:rPr>
        </w:r>
        <w:r>
          <w:rPr>
            <w:noProof/>
            <w:webHidden/>
          </w:rPr>
          <w:fldChar w:fldCharType="separate"/>
        </w:r>
        <w:r>
          <w:rPr>
            <w:noProof/>
            <w:webHidden/>
          </w:rPr>
          <w:t>28</w:t>
        </w:r>
        <w:r>
          <w:rPr>
            <w:noProof/>
            <w:webHidden/>
          </w:rPr>
          <w:fldChar w:fldCharType="end"/>
        </w:r>
      </w:hyperlink>
    </w:p>
    <w:p>
      <w:pPr>
        <w:pStyle w:val="TM3"/>
        <w:tabs>
          <w:tab w:val="right" w:leader="dot" w:pos="9627"/>
        </w:tabs>
        <w:rPr>
          <w:rFonts w:asciiTheme="minorHAnsi" w:eastAsiaTheme="minorEastAsia" w:hAnsiTheme="minorHAnsi" w:cstheme="minorBidi"/>
          <w:noProof/>
          <w:sz w:val="22"/>
          <w:szCs w:val="22"/>
        </w:rPr>
      </w:pPr>
      <w:hyperlink w:anchor="_Toc92700782" w:history="1">
        <w:r>
          <w:rPr>
            <w:rStyle w:val="Lienhypertexte"/>
            <w:noProof/>
          </w:rPr>
          <w:t>3.6.2. Action n°11 : Raccordement de la commune de Saint-Gervasy sur le réseau de Marguerittes</w:t>
        </w:r>
        <w:r>
          <w:rPr>
            <w:noProof/>
            <w:webHidden/>
          </w:rPr>
          <w:tab/>
        </w:r>
        <w:r>
          <w:rPr>
            <w:noProof/>
            <w:webHidden/>
          </w:rPr>
          <w:fldChar w:fldCharType="begin"/>
        </w:r>
        <w:r>
          <w:rPr>
            <w:noProof/>
            <w:webHidden/>
          </w:rPr>
          <w:instrText xml:space="preserve"> PAGEREF _Toc92700782 \h </w:instrText>
        </w:r>
        <w:r>
          <w:rPr>
            <w:noProof/>
            <w:webHidden/>
          </w:rPr>
        </w:r>
        <w:r>
          <w:rPr>
            <w:noProof/>
            <w:webHidden/>
          </w:rPr>
          <w:fldChar w:fldCharType="separate"/>
        </w:r>
        <w:r>
          <w:rPr>
            <w:noProof/>
            <w:webHidden/>
          </w:rPr>
          <w:t>29</w:t>
        </w:r>
        <w:r>
          <w:rPr>
            <w:noProof/>
            <w:webHidden/>
          </w:rPr>
          <w:fldChar w:fldCharType="end"/>
        </w:r>
      </w:hyperlink>
    </w:p>
    <w:p>
      <w:pPr>
        <w:pStyle w:val="TM2"/>
        <w:tabs>
          <w:tab w:val="right" w:leader="dot" w:pos="9627"/>
        </w:tabs>
        <w:rPr>
          <w:rFonts w:asciiTheme="minorHAnsi" w:eastAsiaTheme="minorEastAsia" w:hAnsiTheme="minorHAnsi" w:cstheme="minorBidi"/>
          <w:b w:val="0"/>
          <w:sz w:val="22"/>
          <w:szCs w:val="22"/>
        </w:rPr>
      </w:pPr>
      <w:hyperlink w:anchor="_Toc92700783" w:history="1">
        <w:r>
          <w:rPr>
            <w:rStyle w:val="Lienhypertexte"/>
          </w:rPr>
          <w:t>3.7. Thématique 6 : Mise en place d'une gestion patrimoniale</w:t>
        </w:r>
        <w:r>
          <w:rPr>
            <w:webHidden/>
          </w:rPr>
          <w:tab/>
        </w:r>
        <w:r>
          <w:rPr>
            <w:webHidden/>
          </w:rPr>
          <w:fldChar w:fldCharType="begin"/>
        </w:r>
        <w:r>
          <w:rPr>
            <w:webHidden/>
          </w:rPr>
          <w:instrText xml:space="preserve"> PAGEREF _Toc92700783 \h </w:instrText>
        </w:r>
        <w:r>
          <w:rPr>
            <w:webHidden/>
          </w:rPr>
        </w:r>
        <w:r>
          <w:rPr>
            <w:webHidden/>
          </w:rPr>
          <w:fldChar w:fldCharType="separate"/>
        </w:r>
        <w:r>
          <w:rPr>
            <w:webHidden/>
          </w:rPr>
          <w:t>29</w:t>
        </w:r>
        <w:r>
          <w:rPr>
            <w:webHidden/>
          </w:rPr>
          <w:fldChar w:fldCharType="end"/>
        </w:r>
      </w:hyperlink>
    </w:p>
    <w:p>
      <w:pPr>
        <w:pStyle w:val="TM3"/>
        <w:tabs>
          <w:tab w:val="right" w:leader="dot" w:pos="9627"/>
        </w:tabs>
        <w:rPr>
          <w:rFonts w:asciiTheme="minorHAnsi" w:eastAsiaTheme="minorEastAsia" w:hAnsiTheme="minorHAnsi" w:cstheme="minorBidi"/>
          <w:noProof/>
          <w:sz w:val="22"/>
          <w:szCs w:val="22"/>
        </w:rPr>
      </w:pPr>
      <w:hyperlink w:anchor="_Toc92700784" w:history="1">
        <w:r>
          <w:rPr>
            <w:rStyle w:val="Lienhypertexte"/>
            <w:noProof/>
          </w:rPr>
          <w:t>3.7.1. Action n°12 : Mise en place d’un diagnostic permanent</w:t>
        </w:r>
        <w:r>
          <w:rPr>
            <w:noProof/>
            <w:webHidden/>
          </w:rPr>
          <w:tab/>
        </w:r>
        <w:r>
          <w:rPr>
            <w:noProof/>
            <w:webHidden/>
          </w:rPr>
          <w:fldChar w:fldCharType="begin"/>
        </w:r>
        <w:r>
          <w:rPr>
            <w:noProof/>
            <w:webHidden/>
          </w:rPr>
          <w:instrText xml:space="preserve"> PAGEREF _Toc92700784 \h </w:instrText>
        </w:r>
        <w:r>
          <w:rPr>
            <w:noProof/>
            <w:webHidden/>
          </w:rPr>
        </w:r>
        <w:r>
          <w:rPr>
            <w:noProof/>
            <w:webHidden/>
          </w:rPr>
          <w:fldChar w:fldCharType="separate"/>
        </w:r>
        <w:r>
          <w:rPr>
            <w:noProof/>
            <w:webHidden/>
          </w:rPr>
          <w:t>29</w:t>
        </w:r>
        <w:r>
          <w:rPr>
            <w:noProof/>
            <w:webHidden/>
          </w:rPr>
          <w:fldChar w:fldCharType="end"/>
        </w:r>
      </w:hyperlink>
    </w:p>
    <w:p>
      <w:pPr>
        <w:pStyle w:val="TM3"/>
        <w:tabs>
          <w:tab w:val="right" w:leader="dot" w:pos="9627"/>
        </w:tabs>
        <w:rPr>
          <w:rFonts w:asciiTheme="minorHAnsi" w:eastAsiaTheme="minorEastAsia" w:hAnsiTheme="minorHAnsi" w:cstheme="minorBidi"/>
          <w:noProof/>
          <w:sz w:val="22"/>
          <w:szCs w:val="22"/>
        </w:rPr>
      </w:pPr>
      <w:hyperlink w:anchor="_Toc92700785" w:history="1">
        <w:r>
          <w:rPr>
            <w:rStyle w:val="Lienhypertexte"/>
            <w:noProof/>
          </w:rPr>
          <w:t>3.7.2. Action n°13 : Mise en place d’un programme annuel de contrôle de l’état du réseau et investigations</w:t>
        </w:r>
        <w:r>
          <w:rPr>
            <w:noProof/>
            <w:webHidden/>
          </w:rPr>
          <w:tab/>
        </w:r>
        <w:r>
          <w:rPr>
            <w:noProof/>
            <w:webHidden/>
          </w:rPr>
          <w:fldChar w:fldCharType="begin"/>
        </w:r>
        <w:r>
          <w:rPr>
            <w:noProof/>
            <w:webHidden/>
          </w:rPr>
          <w:instrText xml:space="preserve"> PAGEREF _Toc92700785 \h </w:instrText>
        </w:r>
        <w:r>
          <w:rPr>
            <w:noProof/>
            <w:webHidden/>
          </w:rPr>
        </w:r>
        <w:r>
          <w:rPr>
            <w:noProof/>
            <w:webHidden/>
          </w:rPr>
          <w:fldChar w:fldCharType="separate"/>
        </w:r>
        <w:r>
          <w:rPr>
            <w:noProof/>
            <w:webHidden/>
          </w:rPr>
          <w:t>31</w:t>
        </w:r>
        <w:r>
          <w:rPr>
            <w:noProof/>
            <w:webHidden/>
          </w:rPr>
          <w:fldChar w:fldCharType="end"/>
        </w:r>
      </w:hyperlink>
    </w:p>
    <w:p>
      <w:pPr>
        <w:pStyle w:val="TM3"/>
        <w:tabs>
          <w:tab w:val="right" w:leader="dot" w:pos="9627"/>
        </w:tabs>
        <w:rPr>
          <w:rFonts w:asciiTheme="minorHAnsi" w:eastAsiaTheme="minorEastAsia" w:hAnsiTheme="minorHAnsi" w:cstheme="minorBidi"/>
          <w:noProof/>
          <w:sz w:val="22"/>
          <w:szCs w:val="22"/>
        </w:rPr>
      </w:pPr>
      <w:hyperlink w:anchor="_Toc92700786" w:history="1">
        <w:r>
          <w:rPr>
            <w:rStyle w:val="Lienhypertexte"/>
            <w:noProof/>
          </w:rPr>
          <w:t>3.7.3. Action n°14 : Mise en place d'un renouvellement programmé de la collecte des eaux usées</w:t>
        </w:r>
        <w:r>
          <w:rPr>
            <w:noProof/>
            <w:webHidden/>
          </w:rPr>
          <w:tab/>
        </w:r>
        <w:r>
          <w:rPr>
            <w:noProof/>
            <w:webHidden/>
          </w:rPr>
          <w:fldChar w:fldCharType="begin"/>
        </w:r>
        <w:r>
          <w:rPr>
            <w:noProof/>
            <w:webHidden/>
          </w:rPr>
          <w:instrText xml:space="preserve"> PAGEREF _Toc92700786 \h </w:instrText>
        </w:r>
        <w:r>
          <w:rPr>
            <w:noProof/>
            <w:webHidden/>
          </w:rPr>
        </w:r>
        <w:r>
          <w:rPr>
            <w:noProof/>
            <w:webHidden/>
          </w:rPr>
          <w:fldChar w:fldCharType="separate"/>
        </w:r>
        <w:r>
          <w:rPr>
            <w:noProof/>
            <w:webHidden/>
          </w:rPr>
          <w:t>33</w:t>
        </w:r>
        <w:r>
          <w:rPr>
            <w:noProof/>
            <w:webHidden/>
          </w:rPr>
          <w:fldChar w:fldCharType="end"/>
        </w:r>
      </w:hyperlink>
    </w:p>
    <w:p>
      <w:pPr>
        <w:pStyle w:val="TM2"/>
        <w:tabs>
          <w:tab w:val="right" w:leader="dot" w:pos="9627"/>
        </w:tabs>
        <w:rPr>
          <w:rFonts w:asciiTheme="minorHAnsi" w:eastAsiaTheme="minorEastAsia" w:hAnsiTheme="minorHAnsi" w:cstheme="minorBidi"/>
          <w:b w:val="0"/>
          <w:sz w:val="22"/>
          <w:szCs w:val="22"/>
        </w:rPr>
      </w:pPr>
      <w:hyperlink w:anchor="_Toc92700787" w:history="1">
        <w:r>
          <w:rPr>
            <w:rStyle w:val="Lienhypertexte"/>
          </w:rPr>
          <w:t>3.8. Thématique 7 : Mise en adéquation du système d’assainissement avec l’évolution urbanistique des communes</w:t>
        </w:r>
        <w:r>
          <w:rPr>
            <w:webHidden/>
          </w:rPr>
          <w:tab/>
        </w:r>
        <w:r>
          <w:rPr>
            <w:webHidden/>
          </w:rPr>
          <w:fldChar w:fldCharType="begin"/>
        </w:r>
        <w:r>
          <w:rPr>
            <w:webHidden/>
          </w:rPr>
          <w:instrText xml:space="preserve"> PAGEREF _Toc92700787 \h </w:instrText>
        </w:r>
        <w:r>
          <w:rPr>
            <w:webHidden/>
          </w:rPr>
        </w:r>
        <w:r>
          <w:rPr>
            <w:webHidden/>
          </w:rPr>
          <w:fldChar w:fldCharType="separate"/>
        </w:r>
        <w:r>
          <w:rPr>
            <w:webHidden/>
          </w:rPr>
          <w:t>34</w:t>
        </w:r>
        <w:r>
          <w:rPr>
            <w:webHidden/>
          </w:rPr>
          <w:fldChar w:fldCharType="end"/>
        </w:r>
      </w:hyperlink>
    </w:p>
    <w:p>
      <w:pPr>
        <w:pStyle w:val="TM3"/>
        <w:tabs>
          <w:tab w:val="right" w:leader="dot" w:pos="9627"/>
        </w:tabs>
        <w:rPr>
          <w:rFonts w:asciiTheme="minorHAnsi" w:eastAsiaTheme="minorEastAsia" w:hAnsiTheme="minorHAnsi" w:cstheme="minorBidi"/>
          <w:noProof/>
          <w:sz w:val="22"/>
          <w:szCs w:val="22"/>
        </w:rPr>
      </w:pPr>
      <w:hyperlink w:anchor="_Toc92700788" w:history="1">
        <w:r>
          <w:rPr>
            <w:rStyle w:val="Lienhypertexte"/>
            <w:noProof/>
          </w:rPr>
          <w:t>3.8.1. Action n°15 : Mise en perspective des unités de dépollution avec les charges à traiter</w:t>
        </w:r>
        <w:r>
          <w:rPr>
            <w:noProof/>
            <w:webHidden/>
          </w:rPr>
          <w:tab/>
        </w:r>
        <w:r>
          <w:rPr>
            <w:noProof/>
            <w:webHidden/>
          </w:rPr>
          <w:fldChar w:fldCharType="begin"/>
        </w:r>
        <w:r>
          <w:rPr>
            <w:noProof/>
            <w:webHidden/>
          </w:rPr>
          <w:instrText xml:space="preserve"> PAGEREF _Toc92700788 \h </w:instrText>
        </w:r>
        <w:r>
          <w:rPr>
            <w:noProof/>
            <w:webHidden/>
          </w:rPr>
        </w:r>
        <w:r>
          <w:rPr>
            <w:noProof/>
            <w:webHidden/>
          </w:rPr>
          <w:fldChar w:fldCharType="separate"/>
        </w:r>
        <w:r>
          <w:rPr>
            <w:noProof/>
            <w:webHidden/>
          </w:rPr>
          <w:t>34</w:t>
        </w:r>
        <w:r>
          <w:rPr>
            <w:noProof/>
            <w:webHidden/>
          </w:rPr>
          <w:fldChar w:fldCharType="end"/>
        </w:r>
      </w:hyperlink>
    </w:p>
    <w:p>
      <w:pPr>
        <w:pStyle w:val="TM1"/>
        <w:tabs>
          <w:tab w:val="right" w:leader="dot" w:pos="9627"/>
        </w:tabs>
        <w:rPr>
          <w:rFonts w:asciiTheme="minorHAnsi" w:eastAsiaTheme="minorEastAsia" w:hAnsiTheme="minorHAnsi" w:cstheme="minorBidi"/>
          <w:b w:val="0"/>
          <w:caps w:val="0"/>
          <w:sz w:val="22"/>
          <w:szCs w:val="22"/>
        </w:rPr>
      </w:pPr>
      <w:hyperlink w:anchor="_Toc92700789" w:history="1">
        <w:r>
          <w:rPr>
            <w:rStyle w:val="Lienhypertexte"/>
          </w:rPr>
          <w:t>4. Synthèse et plan d’ensemble du programme de travaux</w:t>
        </w:r>
        <w:r>
          <w:rPr>
            <w:webHidden/>
          </w:rPr>
          <w:tab/>
        </w:r>
        <w:r>
          <w:rPr>
            <w:webHidden/>
          </w:rPr>
          <w:fldChar w:fldCharType="begin"/>
        </w:r>
        <w:r>
          <w:rPr>
            <w:webHidden/>
          </w:rPr>
          <w:instrText xml:space="preserve"> PAGEREF _Toc92700789 \h </w:instrText>
        </w:r>
        <w:r>
          <w:rPr>
            <w:webHidden/>
          </w:rPr>
        </w:r>
        <w:r>
          <w:rPr>
            <w:webHidden/>
          </w:rPr>
          <w:fldChar w:fldCharType="separate"/>
        </w:r>
        <w:r>
          <w:rPr>
            <w:webHidden/>
          </w:rPr>
          <w:t>35</w:t>
        </w:r>
        <w:r>
          <w:rPr>
            <w:webHidden/>
          </w:rPr>
          <w:fldChar w:fldCharType="end"/>
        </w:r>
      </w:hyperlink>
    </w:p>
    <w:p>
      <w:pPr>
        <w:pStyle w:val="TM1"/>
        <w:tabs>
          <w:tab w:val="right" w:leader="dot" w:pos="9627"/>
        </w:tabs>
        <w:rPr>
          <w:rFonts w:asciiTheme="minorHAnsi" w:eastAsiaTheme="minorEastAsia" w:hAnsiTheme="minorHAnsi" w:cstheme="minorBidi"/>
          <w:b w:val="0"/>
          <w:caps w:val="0"/>
          <w:sz w:val="22"/>
          <w:szCs w:val="22"/>
        </w:rPr>
      </w:pPr>
      <w:hyperlink w:anchor="_Toc92700790" w:history="1">
        <w:r>
          <w:rPr>
            <w:rStyle w:val="Lienhypertexte"/>
          </w:rPr>
          <w:t>5. Annexes</w:t>
        </w:r>
        <w:r>
          <w:rPr>
            <w:webHidden/>
          </w:rPr>
          <w:tab/>
        </w:r>
        <w:r>
          <w:rPr>
            <w:webHidden/>
          </w:rPr>
          <w:fldChar w:fldCharType="begin"/>
        </w:r>
        <w:r>
          <w:rPr>
            <w:webHidden/>
          </w:rPr>
          <w:instrText xml:space="preserve"> PAGEREF _Toc92700790 \h </w:instrText>
        </w:r>
        <w:r>
          <w:rPr>
            <w:webHidden/>
          </w:rPr>
        </w:r>
        <w:r>
          <w:rPr>
            <w:webHidden/>
          </w:rPr>
          <w:fldChar w:fldCharType="separate"/>
        </w:r>
        <w:r>
          <w:rPr>
            <w:webHidden/>
          </w:rPr>
          <w:t>36</w:t>
        </w:r>
        <w:r>
          <w:rPr>
            <w:webHidden/>
          </w:rPr>
          <w:fldChar w:fldCharType="end"/>
        </w:r>
      </w:hyperlink>
    </w:p>
    <w:p>
      <w:r>
        <w:rPr>
          <w:highlight w:val="yellow"/>
        </w:rPr>
        <w:fldChar w:fldCharType="end"/>
      </w:r>
    </w:p>
    <w:p>
      <w:pPr>
        <w:pStyle w:val="Tabledesillustrations"/>
        <w:tabs>
          <w:tab w:val="right" w:leader="dot" w:pos="9627"/>
        </w:tabs>
        <w:rPr>
          <w:i/>
        </w:rPr>
      </w:pPr>
    </w:p>
    <w:p>
      <w:pPr>
        <w:spacing w:before="0"/>
        <w:jc w:val="left"/>
        <w:rPr>
          <w:b/>
          <w:smallCaps/>
          <w:color w:val="333333"/>
          <w:kern w:val="28"/>
          <w:sz w:val="48"/>
        </w:rPr>
      </w:pPr>
      <w:bookmarkStart w:id="1" w:name="_Toc420576027"/>
      <w:bookmarkStart w:id="2" w:name="_Toc424023617"/>
      <w:bookmarkStart w:id="3" w:name="_Ref504039076"/>
      <w:bookmarkStart w:id="4" w:name="_Ref56517800"/>
      <w:r>
        <w:br w:type="page"/>
      </w:r>
    </w:p>
    <w:p>
      <w:pPr>
        <w:pStyle w:val="Titre1"/>
        <w:pBdr>
          <w:bottom w:val="single" w:sz="4" w:space="12" w:color="0079C2"/>
        </w:pBdr>
        <w:spacing w:before="240" w:after="120"/>
        <w:ind w:left="431" w:hanging="431"/>
        <w:jc w:val="both"/>
      </w:pPr>
      <w:bookmarkStart w:id="5" w:name="_Toc92700748"/>
      <w:r>
        <w:lastRenderedPageBreak/>
        <w:t>Préambule</w:t>
      </w:r>
      <w:bookmarkEnd w:id="1"/>
      <w:bookmarkEnd w:id="2"/>
      <w:bookmarkEnd w:id="3"/>
      <w:bookmarkEnd w:id="4"/>
      <w:bookmarkEnd w:id="5"/>
    </w:p>
    <w:p>
      <w:r>
        <w:rPr>
          <w:b/>
          <w:bCs/>
        </w:rPr>
        <w:t xml:space="preserve">Nîmes Métropole </w:t>
      </w:r>
      <w:r>
        <w:t xml:space="preserve">a réalisé le diagnostic du système d’assainissement des communes de </w:t>
      </w:r>
      <w:proofErr w:type="spellStart"/>
      <w:r>
        <w:t>Bezouce</w:t>
      </w:r>
      <w:proofErr w:type="spellEnd"/>
      <w:r>
        <w:t xml:space="preserve"> et Saint-</w:t>
      </w:r>
      <w:proofErr w:type="spellStart"/>
      <w:r>
        <w:t>Gervasy</w:t>
      </w:r>
      <w:proofErr w:type="spellEnd"/>
      <w:r>
        <w:t xml:space="preserve"> conformément aux prescriptions précisées dans l’arrêté du 21 juillet 2015 relatif aux systèmes d’assainissement collectif.</w:t>
      </w:r>
    </w:p>
    <w:p>
      <w:r>
        <w:t>L’étude s’est décomposée en trois phases :</w:t>
      </w:r>
    </w:p>
    <w:p>
      <w:pPr>
        <w:pStyle w:val="Retrait20"/>
        <w:ind w:left="964" w:hanging="284"/>
      </w:pPr>
      <w:r>
        <w:t>Phase 1 : état des lieux (septembre 2019 – février 2020)</w:t>
      </w:r>
    </w:p>
    <w:p>
      <w:pPr>
        <w:pStyle w:val="Retrait20"/>
        <w:ind w:left="964" w:hanging="284"/>
      </w:pPr>
      <w:r>
        <w:t>Phase 2 : diagnostic – campagnes de mesures (janvier 2020 - janvier 2021)</w:t>
      </w:r>
    </w:p>
    <w:p>
      <w:pPr>
        <w:pStyle w:val="Retrait20"/>
        <w:ind w:left="964" w:hanging="284"/>
      </w:pPr>
      <w:r>
        <w:t>Phase 3 : programme prévisionnel des travaux hiérarchisés (février 2021 - septembre 2021)</w:t>
      </w:r>
    </w:p>
    <w:p>
      <w:r>
        <w:rPr>
          <w:b/>
          <w:u w:val="single"/>
        </w:rPr>
        <w:t>La phase 1</w:t>
      </w:r>
      <w:r>
        <w:t xml:space="preserve"> a constitué d’une part à présenter les caractéristiques de la commune et les éléments de contexte et d’autre part à faire l’état des lieux de l’assainissement collectif.</w:t>
      </w:r>
    </w:p>
    <w:p>
      <w:r>
        <w:rPr>
          <w:b/>
          <w:u w:val="single"/>
        </w:rPr>
        <w:t>La phase 2</w:t>
      </w:r>
      <w:r>
        <w:t xml:space="preserve"> s’est articulé autour de la campagne de mesures, les investigations nocturnes, les visites sous averses et les investigations complémentaires (inspections caméra, tests à la fumée).</w:t>
      </w:r>
    </w:p>
    <w:p>
      <w:r>
        <w:rPr>
          <w:b/>
          <w:u w:val="single"/>
        </w:rPr>
        <w:t>La phase 3</w:t>
      </w:r>
      <w:r>
        <w:t xml:space="preserve"> est constituée par la synthèse des principaux éléments du diagnostic, les propositions de scénarios d’assainissement et le programme de travaux hiérarchisés.</w:t>
      </w:r>
    </w:p>
    <w:p>
      <w:pPr>
        <w:rPr>
          <w:highlight w:val="yellow"/>
        </w:rPr>
      </w:pPr>
      <w:r>
        <w:t>En annexe de ses rapports ont été transmis le plan du réseau d’assainissement des eaux usées, les fiches regards, les fiches ouvrages, les fiches mesures, les fiches enquêtes, les fiches tests à la fumée et le rapport des passages caméra.</w:t>
      </w:r>
    </w:p>
    <w:p/>
    <w:p/>
    <w:p/>
    <w:p/>
    <w:p/>
    <w:p>
      <w:pPr>
        <w:spacing w:before="0"/>
        <w:jc w:val="left"/>
        <w:rPr>
          <w:b/>
          <w:smallCaps/>
          <w:color w:val="333333"/>
          <w:kern w:val="28"/>
          <w:sz w:val="48"/>
        </w:rPr>
      </w:pPr>
      <w:bookmarkStart w:id="6" w:name="_Toc420576031"/>
      <w:bookmarkStart w:id="7" w:name="_Toc424023621"/>
      <w:r>
        <w:br w:type="page"/>
      </w:r>
    </w:p>
    <w:p>
      <w:pPr>
        <w:pStyle w:val="Titre1"/>
        <w:pBdr>
          <w:bottom w:val="single" w:sz="12" w:space="4" w:color="0070C0"/>
        </w:pBdr>
      </w:pPr>
      <w:bookmarkStart w:id="8" w:name="_Toc46480255"/>
      <w:bookmarkStart w:id="9" w:name="_Toc92700749"/>
      <w:bookmarkEnd w:id="6"/>
      <w:bookmarkEnd w:id="7"/>
      <w:r>
        <w:lastRenderedPageBreak/>
        <w:t>Synthèse des principaux éléments du diagnostic</w:t>
      </w:r>
      <w:bookmarkEnd w:id="8"/>
      <w:bookmarkEnd w:id="9"/>
    </w:p>
    <w:p>
      <w:r>
        <w:t xml:space="preserve">Les communes de </w:t>
      </w:r>
      <w:proofErr w:type="spellStart"/>
      <w:r>
        <w:t>Bezouce</w:t>
      </w:r>
      <w:proofErr w:type="spellEnd"/>
      <w:r>
        <w:t xml:space="preserve"> et Saint-</w:t>
      </w:r>
      <w:proofErr w:type="spellStart"/>
      <w:r>
        <w:t>Gervasy</w:t>
      </w:r>
      <w:proofErr w:type="spellEnd"/>
      <w:r>
        <w:t xml:space="preserve"> font partie intégrante du même système d’assainissement. La station d’épuration de Saint-</w:t>
      </w:r>
      <w:proofErr w:type="spellStart"/>
      <w:r>
        <w:t>Gervasy</w:t>
      </w:r>
      <w:proofErr w:type="spellEnd"/>
      <w:r>
        <w:t xml:space="preserve"> traite les eaux provenant de la commune de Saint-</w:t>
      </w:r>
      <w:proofErr w:type="spellStart"/>
      <w:r>
        <w:t>Gervasy</w:t>
      </w:r>
      <w:proofErr w:type="spellEnd"/>
      <w:r>
        <w:t xml:space="preserve">, de </w:t>
      </w:r>
      <w:proofErr w:type="spellStart"/>
      <w:r>
        <w:t>Bezouce</w:t>
      </w:r>
      <w:proofErr w:type="spellEnd"/>
      <w:r>
        <w:t xml:space="preserve"> et de </w:t>
      </w:r>
      <w:proofErr w:type="spellStart"/>
      <w:r>
        <w:t>Cabrières</w:t>
      </w:r>
      <w:proofErr w:type="spellEnd"/>
      <w:r>
        <w:t>. Une partie des eaux collectée sur ces 3 communes est traitée par la station de traitement des eaux usées de Marguerittes.</w:t>
      </w:r>
    </w:p>
    <w:p>
      <w:pPr>
        <w:pStyle w:val="Titre2"/>
      </w:pPr>
      <w:bookmarkStart w:id="10" w:name="_Toc46480256"/>
      <w:bookmarkStart w:id="11" w:name="_Toc92700750"/>
      <w:r>
        <w:t>Ratio et chiffres clefs</w:t>
      </w:r>
      <w:bookmarkEnd w:id="10"/>
      <w:bookmarkEnd w:id="11"/>
    </w:p>
    <w:p>
      <w:pPr>
        <w:pStyle w:val="Retrait20"/>
        <w:tabs>
          <w:tab w:val="clear" w:pos="928"/>
          <w:tab w:val="num" w:pos="1324"/>
        </w:tabs>
        <w:ind w:left="1304"/>
      </w:pPr>
      <w:r>
        <w:t xml:space="preserve">Abonnés raccordés : 1 711 (1 036 pour </w:t>
      </w:r>
      <w:proofErr w:type="spellStart"/>
      <w:r>
        <w:t>Bezouce</w:t>
      </w:r>
      <w:proofErr w:type="spellEnd"/>
      <w:r>
        <w:t xml:space="preserve"> et 675 pour Saint-</w:t>
      </w:r>
      <w:proofErr w:type="spellStart"/>
      <w:r>
        <w:t>Gervasy</w:t>
      </w:r>
      <w:proofErr w:type="spellEnd"/>
      <w:r>
        <w:t>)</w:t>
      </w:r>
    </w:p>
    <w:p>
      <w:pPr>
        <w:pStyle w:val="Retrait20"/>
        <w:tabs>
          <w:tab w:val="clear" w:pos="928"/>
          <w:tab w:val="num" w:pos="1324"/>
        </w:tabs>
        <w:ind w:left="1304"/>
      </w:pPr>
      <w:r>
        <w:t>Linéaire : 28 481 ml dont 190 ml en refoulement</w:t>
      </w:r>
    </w:p>
    <w:p>
      <w:pPr>
        <w:pStyle w:val="Retrait20"/>
        <w:tabs>
          <w:tab w:val="clear" w:pos="928"/>
          <w:tab w:val="num" w:pos="1324"/>
        </w:tabs>
        <w:ind w:left="1304"/>
      </w:pPr>
      <w:r>
        <w:t>Regards : 776</w:t>
      </w:r>
    </w:p>
    <w:p>
      <w:pPr>
        <w:pStyle w:val="Retrait20"/>
        <w:tabs>
          <w:tab w:val="clear" w:pos="928"/>
          <w:tab w:val="num" w:pos="1324"/>
        </w:tabs>
        <w:ind w:left="1304"/>
      </w:pPr>
      <w:r>
        <w:t>Poste de relevage : 1</w:t>
      </w:r>
    </w:p>
    <w:p>
      <w:pPr>
        <w:pStyle w:val="Retrait20"/>
        <w:tabs>
          <w:tab w:val="clear" w:pos="928"/>
          <w:tab w:val="num" w:pos="1324"/>
        </w:tabs>
        <w:ind w:left="1304"/>
      </w:pPr>
      <w:r>
        <w:t>Déversoir d’orage : 1 (DTS)</w:t>
      </w:r>
    </w:p>
    <w:p>
      <w:pPr>
        <w:pStyle w:val="Retrait20"/>
        <w:tabs>
          <w:tab w:val="clear" w:pos="928"/>
          <w:tab w:val="num" w:pos="1324"/>
        </w:tabs>
        <w:ind w:left="1304"/>
      </w:pPr>
      <w:r>
        <w:t>STEU : 1 à Saint-</w:t>
      </w:r>
      <w:proofErr w:type="spellStart"/>
      <w:r>
        <w:t>Gervasy</w:t>
      </w:r>
      <w:proofErr w:type="spellEnd"/>
    </w:p>
    <w:p/>
    <w:tbl>
      <w:tblPr>
        <w:tblStyle w:val="Grilledutableau"/>
        <w:tblW w:w="0" w:type="auto"/>
        <w:jc w:val="center"/>
        <w:tblLook w:val="04A0" w:firstRow="1" w:lastRow="0" w:firstColumn="1" w:lastColumn="0" w:noHBand="0" w:noVBand="1"/>
      </w:tblPr>
      <w:tblGrid>
        <w:gridCol w:w="2363"/>
        <w:gridCol w:w="2870"/>
      </w:tblGrid>
      <w:tr>
        <w:trPr>
          <w:jc w:val="center"/>
        </w:trPr>
        <w:tc>
          <w:tcPr>
            <w:tcW w:w="0" w:type="auto"/>
            <w:shd w:val="clear" w:color="auto" w:fill="8DB3E2" w:themeFill="text2" w:themeFillTint="66"/>
          </w:tcPr>
          <w:p>
            <w:pPr>
              <w:spacing w:before="60" w:after="60"/>
              <w:jc w:val="center"/>
              <w:rPr>
                <w:b/>
                <w:color w:val="FFFFFF" w:themeColor="background1"/>
              </w:rPr>
            </w:pPr>
          </w:p>
        </w:tc>
        <w:tc>
          <w:tcPr>
            <w:tcW w:w="0" w:type="auto"/>
            <w:shd w:val="clear" w:color="auto" w:fill="8DB3E2" w:themeFill="text2" w:themeFillTint="66"/>
          </w:tcPr>
          <w:p>
            <w:pPr>
              <w:spacing w:before="60" w:after="60"/>
              <w:jc w:val="center"/>
              <w:rPr>
                <w:b/>
                <w:color w:val="FFFFFF" w:themeColor="background1"/>
              </w:rPr>
            </w:pPr>
            <w:r>
              <w:rPr>
                <w:b/>
                <w:color w:val="FFFFFF" w:themeColor="background1"/>
              </w:rPr>
              <w:t>STEU Saint-</w:t>
            </w:r>
            <w:proofErr w:type="spellStart"/>
            <w:r>
              <w:rPr>
                <w:b/>
                <w:color w:val="FFFFFF" w:themeColor="background1"/>
              </w:rPr>
              <w:t>Gervasy</w:t>
            </w:r>
            <w:proofErr w:type="spellEnd"/>
          </w:p>
        </w:tc>
      </w:tr>
      <w:tr>
        <w:trPr>
          <w:jc w:val="center"/>
        </w:trPr>
        <w:tc>
          <w:tcPr>
            <w:tcW w:w="0" w:type="auto"/>
          </w:tcPr>
          <w:p>
            <w:r>
              <w:t>Capacité nominale (EH)</w:t>
            </w:r>
          </w:p>
        </w:tc>
        <w:tc>
          <w:tcPr>
            <w:tcW w:w="0" w:type="auto"/>
          </w:tcPr>
          <w:p>
            <w:pPr>
              <w:jc w:val="center"/>
            </w:pPr>
            <w:r>
              <w:t>4 600</w:t>
            </w:r>
          </w:p>
        </w:tc>
      </w:tr>
      <w:tr>
        <w:trPr>
          <w:jc w:val="center"/>
        </w:trPr>
        <w:tc>
          <w:tcPr>
            <w:tcW w:w="0" w:type="auto"/>
          </w:tcPr>
          <w:p>
            <w:r>
              <w:t>Charge moyenne reçue (m</w:t>
            </w:r>
            <w:r>
              <w:rPr>
                <w:vertAlign w:val="superscript"/>
              </w:rPr>
              <w:t>3</w:t>
            </w:r>
            <w:r>
              <w:t>/j)</w:t>
            </w:r>
          </w:p>
        </w:tc>
        <w:tc>
          <w:tcPr>
            <w:tcW w:w="0" w:type="auto"/>
          </w:tcPr>
          <w:p>
            <w:pPr>
              <w:jc w:val="center"/>
              <w:rPr>
                <w:highlight w:val="yellow"/>
              </w:rPr>
            </w:pPr>
            <w:r>
              <w:t>804</w:t>
            </w:r>
          </w:p>
        </w:tc>
      </w:tr>
      <w:tr>
        <w:trPr>
          <w:jc w:val="center"/>
        </w:trPr>
        <w:tc>
          <w:tcPr>
            <w:tcW w:w="0" w:type="auto"/>
          </w:tcPr>
          <w:p>
            <w:r>
              <w:t>% de saturation hydraulique</w:t>
            </w:r>
          </w:p>
        </w:tc>
        <w:tc>
          <w:tcPr>
            <w:tcW w:w="0" w:type="auto"/>
          </w:tcPr>
          <w:p>
            <w:pPr>
              <w:jc w:val="center"/>
            </w:pPr>
            <w:r>
              <w:t>145 % (percentile 95 – 2016 à 2020)</w:t>
            </w:r>
          </w:p>
        </w:tc>
      </w:tr>
      <w:tr>
        <w:trPr>
          <w:jc w:val="center"/>
        </w:trPr>
        <w:tc>
          <w:tcPr>
            <w:tcW w:w="0" w:type="auto"/>
          </w:tcPr>
          <w:p>
            <w:r>
              <w:t>% de saturation pollution</w:t>
            </w:r>
          </w:p>
        </w:tc>
        <w:tc>
          <w:tcPr>
            <w:tcW w:w="0" w:type="auto"/>
          </w:tcPr>
          <w:p>
            <w:pPr>
              <w:jc w:val="center"/>
            </w:pPr>
            <w:r>
              <w:t>145 % (CBPO</w:t>
            </w:r>
            <w:r>
              <w:rPr>
                <w:rStyle w:val="Appelnotedebasdep"/>
              </w:rPr>
              <w:footnoteReference w:id="1"/>
            </w:r>
            <w:r>
              <w:t xml:space="preserve"> – 2016 à 2020)</w:t>
            </w:r>
          </w:p>
        </w:tc>
      </w:tr>
    </w:tbl>
    <w:p>
      <w:pPr>
        <w:pStyle w:val="Titre2"/>
      </w:pPr>
      <w:bookmarkStart w:id="12" w:name="_Toc46480257"/>
      <w:bookmarkStart w:id="13" w:name="_Toc92700751"/>
      <w:r>
        <w:t>Etat du réseau de collecte</w:t>
      </w:r>
      <w:bookmarkEnd w:id="12"/>
      <w:bookmarkEnd w:id="13"/>
    </w:p>
    <w:p>
      <w:pPr>
        <w:rPr>
          <w:highlight w:val="yellow"/>
        </w:rPr>
      </w:pPr>
      <w:r>
        <w:t>Le linéaire de réseau (</w:t>
      </w:r>
      <w:proofErr w:type="spellStart"/>
      <w:r>
        <w:t>Bezouce</w:t>
      </w:r>
      <w:proofErr w:type="spellEnd"/>
      <w:r>
        <w:t xml:space="preserve"> + Saint-</w:t>
      </w:r>
      <w:proofErr w:type="spellStart"/>
      <w:r>
        <w:t>Gervasy</w:t>
      </w:r>
      <w:proofErr w:type="spellEnd"/>
      <w:r>
        <w:t>) est d’environ 28,5 km. Le réseau de collecte est de type séparatif et principalement gravitaire.</w:t>
      </w:r>
    </w:p>
    <w:p/>
    <w:tbl>
      <w:tblPr>
        <w:tblStyle w:val="Grilledutableau"/>
        <w:tblW w:w="0" w:type="auto"/>
        <w:jc w:val="center"/>
        <w:tblLook w:val="04A0" w:firstRow="1" w:lastRow="0" w:firstColumn="1" w:lastColumn="0" w:noHBand="0" w:noVBand="1"/>
      </w:tblPr>
      <w:tblGrid>
        <w:gridCol w:w="4786"/>
        <w:gridCol w:w="1654"/>
        <w:gridCol w:w="1654"/>
        <w:gridCol w:w="1654"/>
      </w:tblGrid>
      <w:tr>
        <w:trPr>
          <w:jc w:val="center"/>
        </w:trPr>
        <w:tc>
          <w:tcPr>
            <w:tcW w:w="4786" w:type="dxa"/>
            <w:shd w:val="clear" w:color="auto" w:fill="8DB3E2" w:themeFill="text2" w:themeFillTint="66"/>
          </w:tcPr>
          <w:p>
            <w:pPr>
              <w:rPr>
                <w:b/>
              </w:rPr>
            </w:pPr>
            <w:r>
              <w:rPr>
                <w:b/>
              </w:rPr>
              <w:t>Désignation</w:t>
            </w:r>
          </w:p>
        </w:tc>
        <w:tc>
          <w:tcPr>
            <w:tcW w:w="1654" w:type="dxa"/>
            <w:shd w:val="clear" w:color="auto" w:fill="8DB3E2" w:themeFill="text2" w:themeFillTint="66"/>
          </w:tcPr>
          <w:p>
            <w:pPr>
              <w:jc w:val="center"/>
              <w:rPr>
                <w:b/>
              </w:rPr>
            </w:pPr>
            <w:proofErr w:type="spellStart"/>
            <w:r>
              <w:rPr>
                <w:b/>
              </w:rPr>
              <w:t>Bezouce</w:t>
            </w:r>
            <w:proofErr w:type="spellEnd"/>
          </w:p>
        </w:tc>
        <w:tc>
          <w:tcPr>
            <w:tcW w:w="1654" w:type="dxa"/>
            <w:shd w:val="clear" w:color="auto" w:fill="8DB3E2" w:themeFill="text2" w:themeFillTint="66"/>
          </w:tcPr>
          <w:p>
            <w:pPr>
              <w:jc w:val="center"/>
              <w:rPr>
                <w:b/>
              </w:rPr>
            </w:pPr>
            <w:r>
              <w:rPr>
                <w:b/>
              </w:rPr>
              <w:t>Saint-</w:t>
            </w:r>
            <w:proofErr w:type="spellStart"/>
            <w:r>
              <w:rPr>
                <w:b/>
              </w:rPr>
              <w:t>Gervasy</w:t>
            </w:r>
            <w:proofErr w:type="spellEnd"/>
          </w:p>
        </w:tc>
        <w:tc>
          <w:tcPr>
            <w:tcW w:w="1654" w:type="dxa"/>
            <w:shd w:val="clear" w:color="auto" w:fill="8DB3E2" w:themeFill="text2" w:themeFillTint="66"/>
          </w:tcPr>
          <w:p>
            <w:pPr>
              <w:jc w:val="center"/>
              <w:rPr>
                <w:b/>
              </w:rPr>
            </w:pPr>
            <w:r>
              <w:rPr>
                <w:b/>
              </w:rPr>
              <w:t>Système</w:t>
            </w:r>
          </w:p>
        </w:tc>
      </w:tr>
      <w:tr>
        <w:trPr>
          <w:jc w:val="center"/>
        </w:trPr>
        <w:tc>
          <w:tcPr>
            <w:tcW w:w="4786" w:type="dxa"/>
          </w:tcPr>
          <w:p>
            <w:r>
              <w:t>Linéaire de réseau gravitaire des Eaux Usées (ml)</w:t>
            </w:r>
          </w:p>
        </w:tc>
        <w:tc>
          <w:tcPr>
            <w:tcW w:w="1654" w:type="dxa"/>
          </w:tcPr>
          <w:p>
            <w:pPr>
              <w:jc w:val="center"/>
            </w:pPr>
            <w:r>
              <w:t>16 399</w:t>
            </w:r>
          </w:p>
        </w:tc>
        <w:tc>
          <w:tcPr>
            <w:tcW w:w="1654" w:type="dxa"/>
          </w:tcPr>
          <w:p>
            <w:pPr>
              <w:jc w:val="center"/>
            </w:pPr>
            <w:r>
              <w:t>11 892</w:t>
            </w:r>
          </w:p>
        </w:tc>
        <w:tc>
          <w:tcPr>
            <w:tcW w:w="1654" w:type="dxa"/>
          </w:tcPr>
          <w:p>
            <w:pPr>
              <w:jc w:val="center"/>
            </w:pPr>
            <w:r>
              <w:t>28291</w:t>
            </w:r>
          </w:p>
        </w:tc>
      </w:tr>
      <w:tr>
        <w:trPr>
          <w:jc w:val="center"/>
        </w:trPr>
        <w:tc>
          <w:tcPr>
            <w:tcW w:w="4786" w:type="dxa"/>
          </w:tcPr>
          <w:p>
            <w:r>
              <w:t>Linéaire de réseau de refoulement des Eaux Usées (ml)</w:t>
            </w:r>
          </w:p>
        </w:tc>
        <w:tc>
          <w:tcPr>
            <w:tcW w:w="1654" w:type="dxa"/>
          </w:tcPr>
          <w:p>
            <w:pPr>
              <w:jc w:val="center"/>
            </w:pPr>
            <w:r>
              <w:t>0</w:t>
            </w:r>
          </w:p>
        </w:tc>
        <w:tc>
          <w:tcPr>
            <w:tcW w:w="1654" w:type="dxa"/>
          </w:tcPr>
          <w:p>
            <w:pPr>
              <w:jc w:val="center"/>
            </w:pPr>
            <w:r>
              <w:t>190</w:t>
            </w:r>
          </w:p>
        </w:tc>
        <w:tc>
          <w:tcPr>
            <w:tcW w:w="1654" w:type="dxa"/>
          </w:tcPr>
          <w:p>
            <w:pPr>
              <w:jc w:val="center"/>
            </w:pPr>
            <w:r>
              <w:t>190</w:t>
            </w:r>
          </w:p>
        </w:tc>
      </w:tr>
      <w:tr>
        <w:trPr>
          <w:jc w:val="center"/>
        </w:trPr>
        <w:tc>
          <w:tcPr>
            <w:tcW w:w="4786" w:type="dxa"/>
          </w:tcPr>
          <w:p>
            <w:pPr>
              <w:rPr>
                <w:b/>
              </w:rPr>
            </w:pPr>
            <w:r>
              <w:rPr>
                <w:b/>
              </w:rPr>
              <w:t>Linéaire total (ml)</w:t>
            </w:r>
          </w:p>
        </w:tc>
        <w:tc>
          <w:tcPr>
            <w:tcW w:w="1654" w:type="dxa"/>
          </w:tcPr>
          <w:p>
            <w:pPr>
              <w:jc w:val="center"/>
              <w:rPr>
                <w:b/>
              </w:rPr>
            </w:pPr>
            <w:r>
              <w:rPr>
                <w:b/>
              </w:rPr>
              <w:t>16 399</w:t>
            </w:r>
          </w:p>
        </w:tc>
        <w:tc>
          <w:tcPr>
            <w:tcW w:w="1654" w:type="dxa"/>
          </w:tcPr>
          <w:p>
            <w:pPr>
              <w:jc w:val="center"/>
              <w:rPr>
                <w:b/>
              </w:rPr>
            </w:pPr>
            <w:r>
              <w:rPr>
                <w:b/>
              </w:rPr>
              <w:t>12 082</w:t>
            </w:r>
          </w:p>
        </w:tc>
        <w:tc>
          <w:tcPr>
            <w:tcW w:w="1654" w:type="dxa"/>
          </w:tcPr>
          <w:p>
            <w:pPr>
              <w:jc w:val="center"/>
              <w:rPr>
                <w:b/>
              </w:rPr>
            </w:pPr>
            <w:r>
              <w:rPr>
                <w:b/>
              </w:rPr>
              <w:t>28 481</w:t>
            </w:r>
          </w:p>
        </w:tc>
      </w:tr>
    </w:tbl>
    <w:p/>
    <w:p>
      <w:r>
        <w:t>La connaissance du patrimoine est conforme aux obligations réglementaires :</w:t>
      </w:r>
    </w:p>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79"/>
        <w:gridCol w:w="2638"/>
        <w:gridCol w:w="1566"/>
        <w:gridCol w:w="3656"/>
      </w:tblGrid>
      <w:tr>
        <w:tc>
          <w:tcPr>
            <w:tcW w:w="1779" w:type="dxa"/>
            <w:shd w:val="clear" w:color="auto" w:fill="auto"/>
          </w:tcPr>
          <w:p>
            <w:pPr>
              <w:jc w:val="center"/>
            </w:pPr>
            <w:r>
              <w:rPr>
                <w:b/>
              </w:rPr>
              <w:t>Référence</w:t>
            </w:r>
          </w:p>
        </w:tc>
        <w:tc>
          <w:tcPr>
            <w:tcW w:w="2638" w:type="dxa"/>
            <w:shd w:val="clear" w:color="auto" w:fill="auto"/>
            <w:vAlign w:val="center"/>
          </w:tcPr>
          <w:p>
            <w:pPr>
              <w:jc w:val="center"/>
              <w:rPr>
                <w:b/>
              </w:rPr>
            </w:pPr>
            <w:r>
              <w:rPr>
                <w:b/>
              </w:rPr>
              <w:t>Paramètre</w:t>
            </w:r>
          </w:p>
        </w:tc>
        <w:tc>
          <w:tcPr>
            <w:tcW w:w="1566" w:type="dxa"/>
            <w:shd w:val="clear" w:color="auto" w:fill="auto"/>
            <w:vAlign w:val="center"/>
          </w:tcPr>
          <w:p>
            <w:pPr>
              <w:jc w:val="center"/>
              <w:rPr>
                <w:b/>
              </w:rPr>
            </w:pPr>
            <w:r>
              <w:rPr>
                <w:b/>
              </w:rPr>
              <w:t>Conformité</w:t>
            </w:r>
          </w:p>
        </w:tc>
        <w:tc>
          <w:tcPr>
            <w:tcW w:w="3656" w:type="dxa"/>
            <w:shd w:val="clear" w:color="auto" w:fill="auto"/>
          </w:tcPr>
          <w:p>
            <w:pPr>
              <w:jc w:val="center"/>
            </w:pPr>
            <w:r>
              <w:rPr>
                <w:b/>
              </w:rPr>
              <w:t>Commentaire</w:t>
            </w:r>
          </w:p>
        </w:tc>
      </w:tr>
      <w:tr>
        <w:tc>
          <w:tcPr>
            <w:tcW w:w="1779" w:type="dxa"/>
            <w:vMerge w:val="restart"/>
            <w:shd w:val="clear" w:color="auto" w:fill="auto"/>
            <w:vAlign w:val="center"/>
          </w:tcPr>
          <w:p>
            <w:pPr>
              <w:jc w:val="center"/>
              <w:rPr>
                <w:b/>
              </w:rPr>
            </w:pPr>
            <w:r>
              <w:rPr>
                <w:b/>
              </w:rPr>
              <w:t>Décret 2012-97</w:t>
            </w:r>
          </w:p>
        </w:tc>
        <w:tc>
          <w:tcPr>
            <w:tcW w:w="2638" w:type="dxa"/>
            <w:shd w:val="clear" w:color="auto" w:fill="auto"/>
            <w:vAlign w:val="center"/>
          </w:tcPr>
          <w:p>
            <w:pPr>
              <w:jc w:val="left"/>
            </w:pPr>
            <w:r>
              <w:t>Plan des réseaux à jour</w:t>
            </w:r>
          </w:p>
        </w:tc>
        <w:tc>
          <w:tcPr>
            <w:tcW w:w="1566" w:type="dxa"/>
            <w:shd w:val="clear" w:color="auto" w:fill="auto"/>
            <w:vAlign w:val="center"/>
          </w:tcPr>
          <w:p>
            <w:pPr>
              <w:jc w:val="center"/>
            </w:pPr>
            <w:r>
              <w:rPr>
                <w:noProof/>
              </w:rPr>
              <w:drawing>
                <wp:inline distT="0" distB="0" distL="0" distR="0">
                  <wp:extent cx="180975" cy="180975"/>
                  <wp:effectExtent l="0" t="0" r="9525" b="9525"/>
                  <wp:docPr id="66" name="Imag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p>
        </w:tc>
        <w:tc>
          <w:tcPr>
            <w:tcW w:w="3656" w:type="dxa"/>
            <w:shd w:val="clear" w:color="auto" w:fill="auto"/>
            <w:vAlign w:val="center"/>
          </w:tcPr>
          <w:p>
            <w:pPr>
              <w:jc w:val="left"/>
              <w:rPr>
                <w:b/>
              </w:rPr>
            </w:pPr>
            <w:r>
              <w:t xml:space="preserve">Plan réseau numérisé (format </w:t>
            </w:r>
            <w:proofErr w:type="spellStart"/>
            <w:r>
              <w:t>shp</w:t>
            </w:r>
            <w:proofErr w:type="spellEnd"/>
            <w:r>
              <w:t>)</w:t>
            </w:r>
          </w:p>
        </w:tc>
      </w:tr>
      <w:tr>
        <w:tc>
          <w:tcPr>
            <w:tcW w:w="1779" w:type="dxa"/>
            <w:vMerge/>
            <w:shd w:val="clear" w:color="auto" w:fill="auto"/>
            <w:vAlign w:val="center"/>
          </w:tcPr>
          <w:p>
            <w:pPr>
              <w:jc w:val="left"/>
              <w:rPr>
                <w:highlight w:val="yellow"/>
              </w:rPr>
            </w:pPr>
          </w:p>
        </w:tc>
        <w:tc>
          <w:tcPr>
            <w:tcW w:w="2638" w:type="dxa"/>
            <w:shd w:val="clear" w:color="auto" w:fill="auto"/>
            <w:vAlign w:val="center"/>
          </w:tcPr>
          <w:p>
            <w:pPr>
              <w:jc w:val="left"/>
            </w:pPr>
            <w:r>
              <w:t>Matériaux</w:t>
            </w:r>
          </w:p>
        </w:tc>
        <w:tc>
          <w:tcPr>
            <w:tcW w:w="1566" w:type="dxa"/>
            <w:shd w:val="clear" w:color="auto" w:fill="auto"/>
            <w:vAlign w:val="center"/>
          </w:tcPr>
          <w:p>
            <w:pPr>
              <w:jc w:val="center"/>
            </w:pPr>
            <w:r>
              <w:t xml:space="preserve"> </w:t>
            </w:r>
            <w:r>
              <w:rPr>
                <w:noProof/>
              </w:rPr>
              <w:drawing>
                <wp:inline distT="0" distB="0" distL="0" distR="0">
                  <wp:extent cx="180975" cy="180975"/>
                  <wp:effectExtent l="0" t="0" r="9525" b="9525"/>
                  <wp:docPr id="79" name="Imag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p>
        </w:tc>
        <w:tc>
          <w:tcPr>
            <w:tcW w:w="3656" w:type="dxa"/>
            <w:shd w:val="clear" w:color="auto" w:fill="auto"/>
            <w:vAlign w:val="center"/>
          </w:tcPr>
          <w:p>
            <w:pPr>
              <w:jc w:val="left"/>
            </w:pPr>
            <w:r>
              <w:rPr>
                <w:b/>
              </w:rPr>
              <w:t>0% des matériaux non connu</w:t>
            </w:r>
          </w:p>
        </w:tc>
      </w:tr>
      <w:tr>
        <w:tc>
          <w:tcPr>
            <w:tcW w:w="1779" w:type="dxa"/>
            <w:vMerge/>
            <w:shd w:val="clear" w:color="auto" w:fill="auto"/>
            <w:vAlign w:val="center"/>
          </w:tcPr>
          <w:p>
            <w:pPr>
              <w:jc w:val="left"/>
              <w:rPr>
                <w:highlight w:val="yellow"/>
              </w:rPr>
            </w:pPr>
          </w:p>
        </w:tc>
        <w:tc>
          <w:tcPr>
            <w:tcW w:w="2638" w:type="dxa"/>
            <w:shd w:val="clear" w:color="auto" w:fill="auto"/>
            <w:vAlign w:val="center"/>
          </w:tcPr>
          <w:p>
            <w:pPr>
              <w:jc w:val="left"/>
            </w:pPr>
            <w:r>
              <w:t>Diamètre</w:t>
            </w:r>
          </w:p>
        </w:tc>
        <w:tc>
          <w:tcPr>
            <w:tcW w:w="1566" w:type="dxa"/>
            <w:shd w:val="clear" w:color="auto" w:fill="auto"/>
            <w:vAlign w:val="center"/>
          </w:tcPr>
          <w:p>
            <w:pPr>
              <w:jc w:val="center"/>
            </w:pPr>
            <w:r>
              <w:rPr>
                <w:noProof/>
              </w:rPr>
              <w:drawing>
                <wp:inline distT="0" distB="0" distL="0" distR="0">
                  <wp:extent cx="180975" cy="180975"/>
                  <wp:effectExtent l="0" t="0" r="9525" b="9525"/>
                  <wp:docPr id="80" name="Imag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p>
        </w:tc>
        <w:tc>
          <w:tcPr>
            <w:tcW w:w="3656" w:type="dxa"/>
            <w:shd w:val="clear" w:color="auto" w:fill="auto"/>
            <w:vAlign w:val="center"/>
          </w:tcPr>
          <w:p>
            <w:pPr>
              <w:jc w:val="left"/>
            </w:pPr>
            <w:r>
              <w:rPr>
                <w:b/>
              </w:rPr>
              <w:t>0% des diamètres non connu</w:t>
            </w:r>
          </w:p>
        </w:tc>
      </w:tr>
      <w:tr>
        <w:tc>
          <w:tcPr>
            <w:tcW w:w="1779" w:type="dxa"/>
            <w:vMerge/>
            <w:shd w:val="clear" w:color="auto" w:fill="auto"/>
            <w:vAlign w:val="center"/>
          </w:tcPr>
          <w:p>
            <w:pPr>
              <w:jc w:val="left"/>
              <w:rPr>
                <w:highlight w:val="yellow"/>
              </w:rPr>
            </w:pPr>
          </w:p>
        </w:tc>
        <w:tc>
          <w:tcPr>
            <w:tcW w:w="2638" w:type="dxa"/>
            <w:shd w:val="clear" w:color="auto" w:fill="auto"/>
            <w:vAlign w:val="center"/>
          </w:tcPr>
          <w:p>
            <w:pPr>
              <w:jc w:val="left"/>
            </w:pPr>
            <w:r>
              <w:t>Linéaire</w:t>
            </w:r>
          </w:p>
        </w:tc>
        <w:tc>
          <w:tcPr>
            <w:tcW w:w="1566" w:type="dxa"/>
            <w:shd w:val="clear" w:color="auto" w:fill="auto"/>
            <w:vAlign w:val="center"/>
          </w:tcPr>
          <w:p>
            <w:pPr>
              <w:jc w:val="center"/>
            </w:pPr>
            <w:r>
              <w:t xml:space="preserve"> </w:t>
            </w:r>
            <w:r>
              <w:rPr>
                <w:noProof/>
              </w:rPr>
              <w:drawing>
                <wp:inline distT="0" distB="0" distL="0" distR="0">
                  <wp:extent cx="180975" cy="180975"/>
                  <wp:effectExtent l="0" t="0" r="9525" b="9525"/>
                  <wp:docPr id="81" name="Imag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p>
        </w:tc>
        <w:tc>
          <w:tcPr>
            <w:tcW w:w="3656" w:type="dxa"/>
            <w:shd w:val="clear" w:color="auto" w:fill="auto"/>
            <w:vAlign w:val="center"/>
          </w:tcPr>
          <w:p>
            <w:pPr>
              <w:jc w:val="left"/>
            </w:pPr>
            <w:r>
              <w:t>Indiqué dans le SIG - Classe A</w:t>
            </w:r>
          </w:p>
        </w:tc>
      </w:tr>
      <w:tr>
        <w:tc>
          <w:tcPr>
            <w:tcW w:w="1779" w:type="dxa"/>
            <w:vMerge/>
            <w:shd w:val="clear" w:color="auto" w:fill="auto"/>
            <w:vAlign w:val="center"/>
          </w:tcPr>
          <w:p>
            <w:pPr>
              <w:jc w:val="left"/>
              <w:rPr>
                <w:highlight w:val="yellow"/>
              </w:rPr>
            </w:pPr>
          </w:p>
        </w:tc>
        <w:tc>
          <w:tcPr>
            <w:tcW w:w="2638" w:type="dxa"/>
            <w:shd w:val="clear" w:color="auto" w:fill="auto"/>
            <w:vAlign w:val="center"/>
          </w:tcPr>
          <w:p>
            <w:pPr>
              <w:jc w:val="left"/>
            </w:pPr>
            <w:r>
              <w:t>Date de pose</w:t>
            </w:r>
          </w:p>
        </w:tc>
        <w:tc>
          <w:tcPr>
            <w:tcW w:w="1566" w:type="dxa"/>
            <w:shd w:val="clear" w:color="auto" w:fill="auto"/>
            <w:vAlign w:val="center"/>
          </w:tcPr>
          <w:p>
            <w:pPr>
              <w:jc w:val="center"/>
            </w:pPr>
            <w:r>
              <w:rPr>
                <w:noProof/>
              </w:rPr>
              <w:drawing>
                <wp:inline distT="0" distB="0" distL="0" distR="0">
                  <wp:extent cx="180975" cy="180975"/>
                  <wp:effectExtent l="0" t="0" r="9525" b="9525"/>
                  <wp:docPr id="5" name="Imag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p>
        </w:tc>
        <w:tc>
          <w:tcPr>
            <w:tcW w:w="3656" w:type="dxa"/>
            <w:shd w:val="clear" w:color="auto" w:fill="auto"/>
            <w:vAlign w:val="center"/>
          </w:tcPr>
          <w:p>
            <w:pPr>
              <w:jc w:val="left"/>
            </w:pPr>
            <w:r>
              <w:t xml:space="preserve">Information disponible dans le SIG </w:t>
            </w:r>
            <w:r>
              <w:rPr>
                <w:b/>
              </w:rPr>
              <w:t>(100% du linéaire connu)</w:t>
            </w:r>
          </w:p>
        </w:tc>
      </w:tr>
      <w:tr>
        <w:tc>
          <w:tcPr>
            <w:tcW w:w="1779" w:type="dxa"/>
            <w:vMerge/>
            <w:shd w:val="clear" w:color="auto" w:fill="auto"/>
            <w:vAlign w:val="center"/>
          </w:tcPr>
          <w:p>
            <w:pPr>
              <w:jc w:val="left"/>
              <w:rPr>
                <w:highlight w:val="yellow"/>
              </w:rPr>
            </w:pPr>
          </w:p>
        </w:tc>
        <w:tc>
          <w:tcPr>
            <w:tcW w:w="2638" w:type="dxa"/>
            <w:shd w:val="clear" w:color="auto" w:fill="auto"/>
            <w:vAlign w:val="center"/>
          </w:tcPr>
          <w:p>
            <w:pPr>
              <w:jc w:val="left"/>
            </w:pPr>
            <w:r>
              <w:t>Ouvrages / fontainerie</w:t>
            </w:r>
          </w:p>
        </w:tc>
        <w:tc>
          <w:tcPr>
            <w:tcW w:w="1566" w:type="dxa"/>
            <w:shd w:val="clear" w:color="auto" w:fill="auto"/>
            <w:vAlign w:val="center"/>
          </w:tcPr>
          <w:p>
            <w:pPr>
              <w:jc w:val="center"/>
            </w:pPr>
            <w:r>
              <w:rPr>
                <w:noProof/>
              </w:rPr>
              <w:drawing>
                <wp:inline distT="0" distB="0" distL="0" distR="0">
                  <wp:extent cx="180975" cy="180975"/>
                  <wp:effectExtent l="0" t="0" r="9525" b="9525"/>
                  <wp:docPr id="83" name="Imag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p>
        </w:tc>
        <w:tc>
          <w:tcPr>
            <w:tcW w:w="3656" w:type="dxa"/>
            <w:shd w:val="clear" w:color="auto" w:fill="auto"/>
            <w:vAlign w:val="center"/>
          </w:tcPr>
          <w:p>
            <w:pPr>
              <w:jc w:val="left"/>
            </w:pPr>
            <w:r>
              <w:t xml:space="preserve">Plan réseau numérisé (format </w:t>
            </w:r>
            <w:proofErr w:type="spellStart"/>
            <w:r>
              <w:t>shp</w:t>
            </w:r>
            <w:proofErr w:type="spellEnd"/>
            <w:r>
              <w:t>)</w:t>
            </w:r>
          </w:p>
        </w:tc>
      </w:tr>
    </w:tbl>
    <w:p/>
    <w:p>
      <w:r>
        <w:lastRenderedPageBreak/>
        <w:t xml:space="preserve">On recense d’après la reconnaissance du réseau et des plans existants 776 regards. </w:t>
      </w:r>
    </w:p>
    <w:p>
      <w:pPr>
        <w:pStyle w:val="Retrait20"/>
        <w:tabs>
          <w:tab w:val="num" w:pos="1324"/>
        </w:tabs>
        <w:ind w:left="1304"/>
      </w:pPr>
      <w:r>
        <w:t>Regards accessibles : 619 ;</w:t>
      </w:r>
    </w:p>
    <w:p>
      <w:pPr>
        <w:pStyle w:val="Retrait20"/>
        <w:tabs>
          <w:tab w:val="num" w:pos="1324"/>
        </w:tabs>
        <w:ind w:left="1304"/>
      </w:pPr>
      <w:r>
        <w:t>Regards non trouvés : 109 ;</w:t>
      </w:r>
    </w:p>
    <w:p>
      <w:pPr>
        <w:pStyle w:val="Retrait20"/>
        <w:tabs>
          <w:tab w:val="num" w:pos="1324"/>
        </w:tabs>
        <w:ind w:left="1304"/>
      </w:pPr>
      <w:r>
        <w:t>Regards non accessibles : 2 ;</w:t>
      </w:r>
    </w:p>
    <w:p>
      <w:pPr>
        <w:pStyle w:val="Retrait20"/>
        <w:tabs>
          <w:tab w:val="num" w:pos="1324"/>
        </w:tabs>
        <w:ind w:left="1304"/>
      </w:pPr>
      <w:r>
        <w:t>Regards bloqués ou sous voirie : 46 ;</w:t>
      </w:r>
    </w:p>
    <w:p>
      <w:r>
        <w:t>Sur les 619 regards qui ont été visités lors de la reconnaissance du réseau, 82% des regards ont un état très bon à correct, 12% ont un état moyen à médiocre et 6% ont un état mauvais à très mauvais.</w:t>
      </w:r>
    </w:p>
    <w:p>
      <w:pPr>
        <w:spacing w:before="0" w:after="200" w:line="276" w:lineRule="auto"/>
        <w:jc w:val="left"/>
      </w:pPr>
    </w:p>
    <w:p>
      <w:pPr>
        <w:pStyle w:val="Titre2"/>
      </w:pPr>
      <w:bookmarkStart w:id="14" w:name="_Toc46480258"/>
      <w:bookmarkStart w:id="15" w:name="_Toc92700752"/>
      <w:r>
        <w:t>Fonctionnement et performance de l’unité de dépollution des eaux usées</w:t>
      </w:r>
      <w:bookmarkEnd w:id="14"/>
      <w:bookmarkEnd w:id="15"/>
    </w:p>
    <w:p>
      <w:pPr>
        <w:spacing w:after="240"/>
      </w:pPr>
      <w:r>
        <w:t xml:space="preserve">La station est de type </w:t>
      </w:r>
      <w:r>
        <w:rPr>
          <w:rFonts w:cs="Arial"/>
          <w:iCs/>
          <w:lang w:eastAsia="ar-SA"/>
        </w:rPr>
        <w:t>boue activée à faible charge</w:t>
      </w:r>
      <w:r>
        <w:t>. Elle a été construite en 1999 et mise en service en 2000. Elle est exploitée en délégation du service public par la société Véolia. Les principales caractéristiques nominales de la station sont récapitulées dans le tableau ci-après.</w:t>
      </w:r>
    </w:p>
    <w:tbl>
      <w:tblPr>
        <w:tblStyle w:val="Grilledutableau"/>
        <w:tblW w:w="0" w:type="auto"/>
        <w:tblInd w:w="108" w:type="dxa"/>
        <w:tblLook w:val="04A0" w:firstRow="1" w:lastRow="0" w:firstColumn="1" w:lastColumn="0" w:noHBand="0" w:noVBand="1"/>
      </w:tblPr>
      <w:tblGrid>
        <w:gridCol w:w="1642"/>
        <w:gridCol w:w="626"/>
        <w:gridCol w:w="851"/>
      </w:tblGrid>
      <w:tr>
        <w:tc>
          <w:tcPr>
            <w:tcW w:w="1642" w:type="dxa"/>
            <w:shd w:val="clear" w:color="auto" w:fill="8DB3E2" w:themeFill="text2" w:themeFillTint="66"/>
            <w:vAlign w:val="center"/>
          </w:tcPr>
          <w:p>
            <w:pPr>
              <w:spacing w:before="60" w:after="60"/>
              <w:jc w:val="center"/>
              <w:rPr>
                <w:b/>
                <w:color w:val="FFFFFF" w:themeColor="background1"/>
              </w:rPr>
            </w:pPr>
            <w:r>
              <w:rPr>
                <w:b/>
                <w:color w:val="FFFFFF" w:themeColor="background1"/>
              </w:rPr>
              <w:t>Paramètre</w:t>
            </w:r>
          </w:p>
        </w:tc>
        <w:tc>
          <w:tcPr>
            <w:tcW w:w="626" w:type="dxa"/>
            <w:shd w:val="clear" w:color="auto" w:fill="8DB3E2" w:themeFill="text2" w:themeFillTint="66"/>
            <w:vAlign w:val="center"/>
          </w:tcPr>
          <w:p>
            <w:pPr>
              <w:spacing w:before="60" w:after="60"/>
              <w:jc w:val="center"/>
              <w:rPr>
                <w:b/>
                <w:color w:val="FFFFFF" w:themeColor="background1"/>
              </w:rPr>
            </w:pPr>
            <w:r>
              <w:rPr>
                <w:b/>
                <w:color w:val="FFFFFF" w:themeColor="background1"/>
              </w:rPr>
              <w:t>Unité</w:t>
            </w:r>
          </w:p>
        </w:tc>
        <w:tc>
          <w:tcPr>
            <w:tcW w:w="851" w:type="dxa"/>
            <w:shd w:val="clear" w:color="auto" w:fill="8DB3E2" w:themeFill="text2" w:themeFillTint="66"/>
            <w:vAlign w:val="center"/>
          </w:tcPr>
          <w:p>
            <w:pPr>
              <w:spacing w:before="60" w:after="60"/>
              <w:jc w:val="center"/>
              <w:rPr>
                <w:b/>
                <w:color w:val="FFFFFF" w:themeColor="background1"/>
              </w:rPr>
            </w:pPr>
            <w:r>
              <w:rPr>
                <w:b/>
                <w:color w:val="FFFFFF" w:themeColor="background1"/>
              </w:rPr>
              <w:t>Valeur</w:t>
            </w:r>
          </w:p>
        </w:tc>
      </w:tr>
      <w:tr>
        <w:tc>
          <w:tcPr>
            <w:tcW w:w="1642" w:type="dxa"/>
            <w:vAlign w:val="center"/>
          </w:tcPr>
          <w:p>
            <w:pPr>
              <w:spacing w:before="60" w:after="60"/>
              <w:jc w:val="left"/>
            </w:pPr>
            <w:r>
              <w:t>Capacité nominale</w:t>
            </w:r>
          </w:p>
        </w:tc>
        <w:tc>
          <w:tcPr>
            <w:tcW w:w="626" w:type="dxa"/>
            <w:vAlign w:val="center"/>
          </w:tcPr>
          <w:p>
            <w:pPr>
              <w:spacing w:before="60" w:after="60"/>
              <w:jc w:val="center"/>
            </w:pPr>
            <w:r>
              <w:t>EH</w:t>
            </w:r>
          </w:p>
        </w:tc>
        <w:tc>
          <w:tcPr>
            <w:tcW w:w="851" w:type="dxa"/>
            <w:vAlign w:val="center"/>
          </w:tcPr>
          <w:p>
            <w:pPr>
              <w:spacing w:before="60" w:after="60"/>
              <w:jc w:val="center"/>
            </w:pPr>
            <w:r>
              <w:t>4 600</w:t>
            </w:r>
          </w:p>
        </w:tc>
      </w:tr>
      <w:tr>
        <w:tc>
          <w:tcPr>
            <w:tcW w:w="1642" w:type="dxa"/>
            <w:vAlign w:val="center"/>
          </w:tcPr>
          <w:p>
            <w:pPr>
              <w:spacing w:before="60" w:after="60"/>
              <w:jc w:val="left"/>
            </w:pPr>
            <w:r>
              <w:t>Volume journalier</w:t>
            </w:r>
          </w:p>
        </w:tc>
        <w:tc>
          <w:tcPr>
            <w:tcW w:w="626" w:type="dxa"/>
            <w:vAlign w:val="center"/>
          </w:tcPr>
          <w:p>
            <w:pPr>
              <w:spacing w:before="60" w:after="60"/>
              <w:jc w:val="center"/>
            </w:pPr>
            <w:r>
              <w:t>m</w:t>
            </w:r>
            <w:r>
              <w:rPr>
                <w:vertAlign w:val="superscript"/>
              </w:rPr>
              <w:t>3</w:t>
            </w:r>
            <w:r>
              <w:t>/j</w:t>
            </w:r>
          </w:p>
        </w:tc>
        <w:tc>
          <w:tcPr>
            <w:tcW w:w="851" w:type="dxa"/>
            <w:vAlign w:val="center"/>
          </w:tcPr>
          <w:p>
            <w:pPr>
              <w:spacing w:before="60" w:after="60"/>
              <w:jc w:val="center"/>
            </w:pPr>
            <w:r>
              <w:t>920</w:t>
            </w:r>
          </w:p>
        </w:tc>
      </w:tr>
      <w:tr>
        <w:tc>
          <w:tcPr>
            <w:tcW w:w="1642" w:type="dxa"/>
            <w:vAlign w:val="center"/>
          </w:tcPr>
          <w:p>
            <w:pPr>
              <w:spacing w:before="60" w:after="60"/>
              <w:jc w:val="left"/>
            </w:pPr>
            <w:r>
              <w:t>Débit de pointe</w:t>
            </w:r>
          </w:p>
        </w:tc>
        <w:tc>
          <w:tcPr>
            <w:tcW w:w="626" w:type="dxa"/>
            <w:vAlign w:val="center"/>
          </w:tcPr>
          <w:p>
            <w:pPr>
              <w:spacing w:before="60" w:after="60"/>
              <w:jc w:val="center"/>
            </w:pPr>
            <w:r>
              <w:t>m</w:t>
            </w:r>
            <w:r>
              <w:rPr>
                <w:vertAlign w:val="superscript"/>
              </w:rPr>
              <w:t>3</w:t>
            </w:r>
            <w:r>
              <w:t>/h</w:t>
            </w:r>
          </w:p>
        </w:tc>
        <w:tc>
          <w:tcPr>
            <w:tcW w:w="851" w:type="dxa"/>
            <w:vAlign w:val="center"/>
          </w:tcPr>
          <w:p>
            <w:pPr>
              <w:spacing w:before="60" w:after="60"/>
              <w:jc w:val="center"/>
            </w:pPr>
            <w:r>
              <w:t>230</w:t>
            </w:r>
          </w:p>
        </w:tc>
      </w:tr>
      <w:tr>
        <w:tc>
          <w:tcPr>
            <w:tcW w:w="1642" w:type="dxa"/>
            <w:vAlign w:val="center"/>
          </w:tcPr>
          <w:p>
            <w:pPr>
              <w:spacing w:before="60" w:after="60"/>
              <w:jc w:val="left"/>
            </w:pPr>
            <w:r>
              <w:t>DBO</w:t>
            </w:r>
            <w:r>
              <w:rPr>
                <w:vertAlign w:val="subscript"/>
              </w:rPr>
              <w:t>5</w:t>
            </w:r>
          </w:p>
        </w:tc>
        <w:tc>
          <w:tcPr>
            <w:tcW w:w="626" w:type="dxa"/>
            <w:vAlign w:val="center"/>
          </w:tcPr>
          <w:p>
            <w:pPr>
              <w:spacing w:before="60" w:after="60"/>
              <w:jc w:val="center"/>
            </w:pPr>
            <w:r>
              <w:t>kg/j</w:t>
            </w:r>
          </w:p>
        </w:tc>
        <w:tc>
          <w:tcPr>
            <w:tcW w:w="851" w:type="dxa"/>
            <w:vAlign w:val="center"/>
          </w:tcPr>
          <w:p>
            <w:pPr>
              <w:spacing w:before="60" w:after="60"/>
              <w:jc w:val="center"/>
            </w:pPr>
            <w:r>
              <w:t>276</w:t>
            </w:r>
          </w:p>
        </w:tc>
      </w:tr>
      <w:tr>
        <w:tc>
          <w:tcPr>
            <w:tcW w:w="1642" w:type="dxa"/>
            <w:vAlign w:val="center"/>
          </w:tcPr>
          <w:p>
            <w:pPr>
              <w:spacing w:before="60" w:after="60"/>
              <w:jc w:val="left"/>
            </w:pPr>
            <w:r>
              <w:t>DCO</w:t>
            </w:r>
          </w:p>
        </w:tc>
        <w:tc>
          <w:tcPr>
            <w:tcW w:w="626" w:type="dxa"/>
            <w:vAlign w:val="center"/>
          </w:tcPr>
          <w:p>
            <w:pPr>
              <w:spacing w:before="60" w:after="60"/>
              <w:jc w:val="center"/>
            </w:pPr>
            <w:r>
              <w:t>kg/j</w:t>
            </w:r>
          </w:p>
        </w:tc>
        <w:tc>
          <w:tcPr>
            <w:tcW w:w="851" w:type="dxa"/>
            <w:vAlign w:val="center"/>
          </w:tcPr>
          <w:p>
            <w:pPr>
              <w:spacing w:before="60" w:after="60"/>
              <w:jc w:val="center"/>
            </w:pPr>
            <w:r>
              <w:t>713</w:t>
            </w:r>
          </w:p>
        </w:tc>
      </w:tr>
      <w:tr>
        <w:tc>
          <w:tcPr>
            <w:tcW w:w="1642" w:type="dxa"/>
            <w:vAlign w:val="center"/>
          </w:tcPr>
          <w:p>
            <w:pPr>
              <w:spacing w:before="60" w:after="60"/>
              <w:jc w:val="left"/>
            </w:pPr>
            <w:r>
              <w:t>MES</w:t>
            </w:r>
          </w:p>
        </w:tc>
        <w:tc>
          <w:tcPr>
            <w:tcW w:w="626" w:type="dxa"/>
            <w:vAlign w:val="center"/>
          </w:tcPr>
          <w:p>
            <w:pPr>
              <w:spacing w:before="60" w:after="60"/>
              <w:jc w:val="center"/>
            </w:pPr>
            <w:r>
              <w:t>kg/j</w:t>
            </w:r>
          </w:p>
        </w:tc>
        <w:tc>
          <w:tcPr>
            <w:tcW w:w="851" w:type="dxa"/>
            <w:vAlign w:val="center"/>
          </w:tcPr>
          <w:p>
            <w:pPr>
              <w:spacing w:before="60" w:after="60"/>
              <w:jc w:val="center"/>
            </w:pPr>
            <w:r>
              <w:t>391</w:t>
            </w:r>
          </w:p>
        </w:tc>
      </w:tr>
    </w:tbl>
    <w:p>
      <w:r>
        <w:t>Sur la base des données d’auto-surveillance collectées entre 2016 et 2020, la charge organique (CBPO) de la station est d’environ 145% (400 / 276 kg/j) et la charge hydraulique (percentile 95) est d’environ 145% (1 335 / 920 m</w:t>
      </w:r>
      <w:r>
        <w:rPr>
          <w:vertAlign w:val="superscript"/>
        </w:rPr>
        <w:t>3</w:t>
      </w:r>
      <w:r>
        <w:t>/j). Le réseau de collecte est très sensible aux eaux météoriques.</w:t>
      </w:r>
    </w:p>
    <w:p>
      <w:pPr>
        <w:rPr>
          <w:b/>
        </w:rPr>
      </w:pPr>
      <w:r>
        <w:rPr>
          <w:b/>
        </w:rPr>
        <w:t>Durant la période étudiée de 2016 à 2020, la conformité règlementaire en performance de l’unité de dépollution est de 100%.</w:t>
      </w:r>
    </w:p>
    <w:p>
      <w:pPr>
        <w:rPr>
          <w:b/>
        </w:rPr>
      </w:pPr>
    </w:p>
    <w:tbl>
      <w:tblPr>
        <w:tblW w:w="9784" w:type="dxa"/>
        <w:jc w:val="center"/>
        <w:tblCellMar>
          <w:left w:w="70" w:type="dxa"/>
          <w:right w:w="70" w:type="dxa"/>
        </w:tblCellMar>
        <w:tblLook w:val="04A0" w:firstRow="1" w:lastRow="0" w:firstColumn="1" w:lastColumn="0" w:noHBand="0" w:noVBand="1"/>
      </w:tblPr>
      <w:tblGrid>
        <w:gridCol w:w="2825"/>
        <w:gridCol w:w="1417"/>
        <w:gridCol w:w="1495"/>
        <w:gridCol w:w="1495"/>
        <w:gridCol w:w="1276"/>
        <w:gridCol w:w="1276"/>
      </w:tblGrid>
      <w:tr>
        <w:trPr>
          <w:trHeight w:val="630"/>
          <w:jc w:val="center"/>
        </w:trPr>
        <w:tc>
          <w:tcPr>
            <w:tcW w:w="2825" w:type="dxa"/>
            <w:tcBorders>
              <w:top w:val="single" w:sz="4" w:space="0" w:color="auto"/>
              <w:left w:val="single" w:sz="4" w:space="0" w:color="auto"/>
              <w:bottom w:val="single" w:sz="4" w:space="0" w:color="auto"/>
              <w:right w:val="single" w:sz="4" w:space="0" w:color="auto"/>
            </w:tcBorders>
            <w:shd w:val="clear" w:color="auto" w:fill="B8CCE4" w:themeFill="accent1" w:themeFillTint="66"/>
            <w:noWrap/>
            <w:vAlign w:val="center"/>
            <w:hideMark/>
          </w:tcPr>
          <w:p>
            <w:pPr>
              <w:spacing w:before="0"/>
              <w:jc w:val="center"/>
              <w:rPr>
                <w:rFonts w:cs="Arial"/>
                <w:b/>
                <w:bCs/>
                <w:color w:val="000000"/>
              </w:rPr>
            </w:pPr>
            <w:r>
              <w:rPr>
                <w:rFonts w:cs="Arial"/>
                <w:b/>
                <w:bCs/>
                <w:color w:val="000000"/>
              </w:rPr>
              <w:t>Paramètres</w:t>
            </w:r>
          </w:p>
        </w:tc>
        <w:tc>
          <w:tcPr>
            <w:tcW w:w="1417" w:type="dxa"/>
            <w:tcBorders>
              <w:top w:val="single" w:sz="4" w:space="0" w:color="auto"/>
              <w:left w:val="nil"/>
              <w:bottom w:val="single" w:sz="4" w:space="0" w:color="auto"/>
              <w:right w:val="single" w:sz="4" w:space="0" w:color="auto"/>
            </w:tcBorders>
            <w:shd w:val="clear" w:color="auto" w:fill="B8CCE4" w:themeFill="accent1" w:themeFillTint="66"/>
            <w:vAlign w:val="center"/>
            <w:hideMark/>
          </w:tcPr>
          <w:p>
            <w:pPr>
              <w:spacing w:before="0"/>
              <w:jc w:val="center"/>
              <w:rPr>
                <w:rFonts w:cs="Arial"/>
                <w:b/>
                <w:bCs/>
                <w:color w:val="000000"/>
              </w:rPr>
            </w:pPr>
            <w:r>
              <w:rPr>
                <w:rFonts w:cs="Arial"/>
                <w:b/>
                <w:bCs/>
                <w:color w:val="000000"/>
              </w:rPr>
              <w:t>Moyenne concentration sortie (mg/l)</w:t>
            </w:r>
          </w:p>
        </w:tc>
        <w:tc>
          <w:tcPr>
            <w:tcW w:w="1495" w:type="dxa"/>
            <w:tcBorders>
              <w:top w:val="single" w:sz="4" w:space="0" w:color="auto"/>
              <w:left w:val="nil"/>
              <w:bottom w:val="single" w:sz="4" w:space="0" w:color="auto"/>
              <w:right w:val="single" w:sz="4" w:space="0" w:color="auto"/>
            </w:tcBorders>
            <w:shd w:val="clear" w:color="auto" w:fill="B8CCE4" w:themeFill="accent1" w:themeFillTint="66"/>
            <w:vAlign w:val="center"/>
            <w:hideMark/>
          </w:tcPr>
          <w:p>
            <w:pPr>
              <w:spacing w:before="0"/>
              <w:jc w:val="center"/>
              <w:rPr>
                <w:rFonts w:cs="Arial"/>
                <w:b/>
                <w:bCs/>
                <w:color w:val="000000"/>
              </w:rPr>
            </w:pPr>
            <w:r>
              <w:rPr>
                <w:rFonts w:cs="Arial"/>
                <w:b/>
                <w:bCs/>
                <w:color w:val="000000"/>
              </w:rPr>
              <w:t>Rappel niveau de rejet (mg/l)</w:t>
            </w:r>
          </w:p>
        </w:tc>
        <w:tc>
          <w:tcPr>
            <w:tcW w:w="1495" w:type="dxa"/>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hideMark/>
          </w:tcPr>
          <w:p>
            <w:pPr>
              <w:spacing w:before="0"/>
              <w:jc w:val="center"/>
              <w:rPr>
                <w:rFonts w:cs="Arial"/>
                <w:b/>
                <w:bCs/>
                <w:color w:val="000000"/>
              </w:rPr>
            </w:pPr>
            <w:r>
              <w:rPr>
                <w:rFonts w:cs="Arial"/>
                <w:b/>
                <w:bCs/>
                <w:color w:val="000000"/>
              </w:rPr>
              <w:t>Moyenne flux sortie (kg/j)</w:t>
            </w:r>
          </w:p>
        </w:tc>
        <w:tc>
          <w:tcPr>
            <w:tcW w:w="1276" w:type="dxa"/>
            <w:tcBorders>
              <w:top w:val="single" w:sz="4" w:space="0" w:color="auto"/>
              <w:left w:val="nil"/>
              <w:bottom w:val="single" w:sz="4" w:space="0" w:color="auto"/>
              <w:right w:val="single" w:sz="4" w:space="0" w:color="auto"/>
            </w:tcBorders>
            <w:shd w:val="clear" w:color="auto" w:fill="B8CCE4" w:themeFill="accent1" w:themeFillTint="66"/>
            <w:vAlign w:val="center"/>
            <w:hideMark/>
          </w:tcPr>
          <w:p>
            <w:pPr>
              <w:spacing w:before="0"/>
              <w:jc w:val="center"/>
              <w:rPr>
                <w:rFonts w:cs="Arial"/>
                <w:b/>
                <w:bCs/>
                <w:color w:val="000000"/>
              </w:rPr>
            </w:pPr>
            <w:r>
              <w:rPr>
                <w:rFonts w:cs="Arial"/>
                <w:b/>
                <w:bCs/>
                <w:color w:val="000000"/>
              </w:rPr>
              <w:t>Moyenne rendement (%)</w:t>
            </w:r>
          </w:p>
        </w:tc>
        <w:tc>
          <w:tcPr>
            <w:tcW w:w="1276" w:type="dxa"/>
            <w:tcBorders>
              <w:top w:val="single" w:sz="4" w:space="0" w:color="auto"/>
              <w:left w:val="nil"/>
              <w:bottom w:val="single" w:sz="4" w:space="0" w:color="auto"/>
              <w:right w:val="single" w:sz="4" w:space="0" w:color="auto"/>
            </w:tcBorders>
            <w:shd w:val="clear" w:color="auto" w:fill="B8CCE4" w:themeFill="accent1" w:themeFillTint="66"/>
            <w:vAlign w:val="center"/>
          </w:tcPr>
          <w:p>
            <w:pPr>
              <w:spacing w:before="0"/>
              <w:jc w:val="center"/>
              <w:rPr>
                <w:rFonts w:cs="Arial"/>
                <w:b/>
                <w:bCs/>
                <w:color w:val="000000"/>
              </w:rPr>
            </w:pPr>
            <w:r>
              <w:rPr>
                <w:rFonts w:cs="Arial"/>
                <w:b/>
                <w:bCs/>
                <w:color w:val="000000"/>
              </w:rPr>
              <w:t>Rappel niveau de rejet (%)</w:t>
            </w:r>
          </w:p>
        </w:tc>
      </w:tr>
      <w:tr>
        <w:trPr>
          <w:trHeight w:val="435"/>
          <w:jc w:val="center"/>
        </w:trPr>
        <w:tc>
          <w:tcPr>
            <w:tcW w:w="2825" w:type="dxa"/>
            <w:tcBorders>
              <w:top w:val="nil"/>
              <w:left w:val="single" w:sz="4" w:space="0" w:color="auto"/>
              <w:bottom w:val="single" w:sz="4" w:space="0" w:color="auto"/>
              <w:right w:val="single" w:sz="4" w:space="0" w:color="auto"/>
            </w:tcBorders>
            <w:noWrap/>
            <w:vAlign w:val="center"/>
            <w:hideMark/>
          </w:tcPr>
          <w:p>
            <w:pPr>
              <w:spacing w:before="0"/>
              <w:jc w:val="center"/>
              <w:rPr>
                <w:rFonts w:cs="Arial"/>
              </w:rPr>
            </w:pPr>
            <w:r>
              <w:rPr>
                <w:rFonts w:cs="Arial"/>
              </w:rPr>
              <w:t>DBO</w:t>
            </w:r>
            <w:r>
              <w:rPr>
                <w:rFonts w:cs="Arial"/>
                <w:vertAlign w:val="subscript"/>
              </w:rPr>
              <w:t>5</w:t>
            </w:r>
          </w:p>
        </w:tc>
        <w:tc>
          <w:tcPr>
            <w:tcW w:w="1417" w:type="dxa"/>
            <w:tcBorders>
              <w:top w:val="nil"/>
              <w:left w:val="nil"/>
              <w:bottom w:val="single" w:sz="4" w:space="0" w:color="auto"/>
              <w:right w:val="single" w:sz="4" w:space="0" w:color="auto"/>
            </w:tcBorders>
            <w:vAlign w:val="center"/>
            <w:hideMark/>
          </w:tcPr>
          <w:p>
            <w:pPr>
              <w:spacing w:before="0"/>
              <w:jc w:val="center"/>
              <w:rPr>
                <w:rFonts w:cs="Arial"/>
              </w:rPr>
            </w:pPr>
            <w:r>
              <w:rPr>
                <w:rFonts w:cs="Arial"/>
              </w:rPr>
              <w:t>3,8</w:t>
            </w:r>
          </w:p>
        </w:tc>
        <w:tc>
          <w:tcPr>
            <w:tcW w:w="1495" w:type="dxa"/>
            <w:tcBorders>
              <w:top w:val="single" w:sz="4" w:space="0" w:color="auto"/>
              <w:left w:val="nil"/>
              <w:bottom w:val="single" w:sz="4" w:space="0" w:color="auto"/>
              <w:right w:val="single" w:sz="4" w:space="0" w:color="auto"/>
            </w:tcBorders>
            <w:vAlign w:val="center"/>
            <w:hideMark/>
          </w:tcPr>
          <w:p>
            <w:pPr>
              <w:spacing w:before="0"/>
              <w:jc w:val="center"/>
              <w:rPr>
                <w:rFonts w:cs="Arial"/>
              </w:rPr>
            </w:pPr>
            <w:r>
              <w:rPr>
                <w:rFonts w:cs="Arial"/>
              </w:rPr>
              <w:t>25</w:t>
            </w:r>
          </w:p>
        </w:tc>
        <w:tc>
          <w:tcPr>
            <w:tcW w:w="1495" w:type="dxa"/>
            <w:tcBorders>
              <w:top w:val="nil"/>
              <w:left w:val="single" w:sz="4" w:space="0" w:color="auto"/>
              <w:bottom w:val="single" w:sz="4" w:space="0" w:color="auto"/>
              <w:right w:val="single" w:sz="4" w:space="0" w:color="auto"/>
            </w:tcBorders>
            <w:vAlign w:val="center"/>
            <w:hideMark/>
          </w:tcPr>
          <w:p>
            <w:pPr>
              <w:spacing w:before="0"/>
              <w:jc w:val="center"/>
              <w:rPr>
                <w:rFonts w:cs="Arial"/>
              </w:rPr>
            </w:pPr>
            <w:r>
              <w:rPr>
                <w:rFonts w:cs="Arial"/>
              </w:rPr>
              <w:t>3</w:t>
            </w:r>
          </w:p>
        </w:tc>
        <w:tc>
          <w:tcPr>
            <w:tcW w:w="1276" w:type="dxa"/>
            <w:tcBorders>
              <w:top w:val="nil"/>
              <w:left w:val="nil"/>
              <w:bottom w:val="single" w:sz="4" w:space="0" w:color="auto"/>
              <w:right w:val="single" w:sz="4" w:space="0" w:color="auto"/>
            </w:tcBorders>
            <w:vAlign w:val="center"/>
            <w:hideMark/>
          </w:tcPr>
          <w:p>
            <w:pPr>
              <w:spacing w:before="0"/>
              <w:jc w:val="center"/>
              <w:rPr>
                <w:rFonts w:cs="Arial"/>
              </w:rPr>
            </w:pPr>
            <w:r>
              <w:rPr>
                <w:rFonts w:cs="Arial"/>
              </w:rPr>
              <w:t>98,4</w:t>
            </w:r>
          </w:p>
        </w:tc>
        <w:tc>
          <w:tcPr>
            <w:tcW w:w="1276" w:type="dxa"/>
            <w:tcBorders>
              <w:top w:val="nil"/>
              <w:left w:val="nil"/>
              <w:bottom w:val="single" w:sz="4" w:space="0" w:color="auto"/>
              <w:right w:val="single" w:sz="4" w:space="0" w:color="auto"/>
            </w:tcBorders>
            <w:vAlign w:val="center"/>
          </w:tcPr>
          <w:p>
            <w:pPr>
              <w:spacing w:before="0"/>
              <w:jc w:val="center"/>
              <w:rPr>
                <w:rFonts w:cs="Arial"/>
              </w:rPr>
            </w:pPr>
            <w:r>
              <w:rPr>
                <w:rFonts w:cs="Arial"/>
              </w:rPr>
              <w:t>80</w:t>
            </w:r>
          </w:p>
        </w:tc>
      </w:tr>
      <w:tr>
        <w:trPr>
          <w:trHeight w:val="435"/>
          <w:jc w:val="center"/>
        </w:trPr>
        <w:tc>
          <w:tcPr>
            <w:tcW w:w="2825" w:type="dxa"/>
            <w:tcBorders>
              <w:top w:val="nil"/>
              <w:left w:val="single" w:sz="4" w:space="0" w:color="auto"/>
              <w:bottom w:val="single" w:sz="4" w:space="0" w:color="auto"/>
              <w:right w:val="single" w:sz="4" w:space="0" w:color="auto"/>
            </w:tcBorders>
            <w:noWrap/>
            <w:vAlign w:val="center"/>
            <w:hideMark/>
          </w:tcPr>
          <w:p>
            <w:pPr>
              <w:spacing w:before="0"/>
              <w:jc w:val="center"/>
              <w:rPr>
                <w:rFonts w:cs="Arial"/>
              </w:rPr>
            </w:pPr>
            <w:r>
              <w:rPr>
                <w:rFonts w:cs="Arial"/>
              </w:rPr>
              <w:t>DCO</w:t>
            </w:r>
          </w:p>
        </w:tc>
        <w:tc>
          <w:tcPr>
            <w:tcW w:w="1417" w:type="dxa"/>
            <w:tcBorders>
              <w:top w:val="nil"/>
              <w:left w:val="nil"/>
              <w:bottom w:val="single" w:sz="4" w:space="0" w:color="auto"/>
              <w:right w:val="single" w:sz="4" w:space="0" w:color="auto"/>
            </w:tcBorders>
            <w:vAlign w:val="center"/>
            <w:hideMark/>
          </w:tcPr>
          <w:p>
            <w:pPr>
              <w:keepNext/>
              <w:spacing w:before="0"/>
              <w:jc w:val="center"/>
              <w:rPr>
                <w:rFonts w:cs="Arial"/>
              </w:rPr>
            </w:pPr>
            <w:r>
              <w:rPr>
                <w:rFonts w:cs="Arial"/>
              </w:rPr>
              <w:t>35,6</w:t>
            </w:r>
          </w:p>
        </w:tc>
        <w:tc>
          <w:tcPr>
            <w:tcW w:w="1495" w:type="dxa"/>
            <w:tcBorders>
              <w:top w:val="single" w:sz="4" w:space="0" w:color="auto"/>
              <w:left w:val="nil"/>
              <w:bottom w:val="single" w:sz="4" w:space="0" w:color="auto"/>
              <w:right w:val="single" w:sz="4" w:space="0" w:color="auto"/>
            </w:tcBorders>
            <w:vAlign w:val="center"/>
            <w:hideMark/>
          </w:tcPr>
          <w:p>
            <w:pPr>
              <w:spacing w:before="0"/>
              <w:jc w:val="center"/>
              <w:rPr>
                <w:rFonts w:cs="Arial"/>
              </w:rPr>
            </w:pPr>
            <w:r>
              <w:rPr>
                <w:rFonts w:cs="Arial"/>
              </w:rPr>
              <w:t>125</w:t>
            </w:r>
          </w:p>
        </w:tc>
        <w:tc>
          <w:tcPr>
            <w:tcW w:w="1495" w:type="dxa"/>
            <w:tcBorders>
              <w:top w:val="nil"/>
              <w:left w:val="single" w:sz="4" w:space="0" w:color="auto"/>
              <w:bottom w:val="single" w:sz="4" w:space="0" w:color="auto"/>
              <w:right w:val="single" w:sz="4" w:space="0" w:color="auto"/>
            </w:tcBorders>
            <w:vAlign w:val="center"/>
            <w:hideMark/>
          </w:tcPr>
          <w:p>
            <w:pPr>
              <w:keepNext/>
              <w:spacing w:before="0"/>
              <w:jc w:val="center"/>
              <w:rPr>
                <w:rFonts w:cs="Arial"/>
              </w:rPr>
            </w:pPr>
            <w:r>
              <w:rPr>
                <w:rFonts w:cs="Arial"/>
              </w:rPr>
              <w:t>28</w:t>
            </w:r>
          </w:p>
        </w:tc>
        <w:tc>
          <w:tcPr>
            <w:tcW w:w="1276" w:type="dxa"/>
            <w:tcBorders>
              <w:top w:val="nil"/>
              <w:left w:val="nil"/>
              <w:bottom w:val="single" w:sz="4" w:space="0" w:color="auto"/>
              <w:right w:val="single" w:sz="4" w:space="0" w:color="auto"/>
            </w:tcBorders>
            <w:vAlign w:val="center"/>
            <w:hideMark/>
          </w:tcPr>
          <w:p>
            <w:pPr>
              <w:keepNext/>
              <w:spacing w:before="0"/>
              <w:jc w:val="center"/>
              <w:rPr>
                <w:rFonts w:cs="Arial"/>
              </w:rPr>
            </w:pPr>
            <w:r>
              <w:rPr>
                <w:rFonts w:cs="Arial"/>
              </w:rPr>
              <w:t>94,6</w:t>
            </w:r>
          </w:p>
        </w:tc>
        <w:tc>
          <w:tcPr>
            <w:tcW w:w="1276" w:type="dxa"/>
            <w:tcBorders>
              <w:top w:val="nil"/>
              <w:left w:val="nil"/>
              <w:bottom w:val="single" w:sz="4" w:space="0" w:color="auto"/>
              <w:right w:val="single" w:sz="4" w:space="0" w:color="auto"/>
            </w:tcBorders>
            <w:vAlign w:val="center"/>
          </w:tcPr>
          <w:p>
            <w:pPr>
              <w:keepNext/>
              <w:spacing w:before="0"/>
              <w:jc w:val="center"/>
              <w:rPr>
                <w:rFonts w:cs="Arial"/>
              </w:rPr>
            </w:pPr>
            <w:r>
              <w:rPr>
                <w:rFonts w:cs="Arial"/>
              </w:rPr>
              <w:t>75</w:t>
            </w:r>
          </w:p>
        </w:tc>
      </w:tr>
      <w:tr>
        <w:trPr>
          <w:trHeight w:val="435"/>
          <w:jc w:val="center"/>
        </w:trPr>
        <w:tc>
          <w:tcPr>
            <w:tcW w:w="2825" w:type="dxa"/>
            <w:tcBorders>
              <w:top w:val="nil"/>
              <w:left w:val="single" w:sz="4" w:space="0" w:color="auto"/>
              <w:bottom w:val="single" w:sz="4" w:space="0" w:color="auto"/>
              <w:right w:val="single" w:sz="4" w:space="0" w:color="auto"/>
            </w:tcBorders>
            <w:noWrap/>
            <w:vAlign w:val="center"/>
            <w:hideMark/>
          </w:tcPr>
          <w:p>
            <w:pPr>
              <w:spacing w:before="0"/>
              <w:jc w:val="center"/>
              <w:rPr>
                <w:rFonts w:cs="Arial"/>
              </w:rPr>
            </w:pPr>
            <w:r>
              <w:rPr>
                <w:rFonts w:cs="Arial"/>
              </w:rPr>
              <w:t>MES</w:t>
            </w:r>
          </w:p>
        </w:tc>
        <w:tc>
          <w:tcPr>
            <w:tcW w:w="1417" w:type="dxa"/>
            <w:tcBorders>
              <w:top w:val="nil"/>
              <w:left w:val="nil"/>
              <w:bottom w:val="single" w:sz="4" w:space="0" w:color="auto"/>
              <w:right w:val="single" w:sz="4" w:space="0" w:color="auto"/>
            </w:tcBorders>
            <w:vAlign w:val="center"/>
            <w:hideMark/>
          </w:tcPr>
          <w:p>
            <w:pPr>
              <w:spacing w:before="0"/>
              <w:jc w:val="center"/>
              <w:rPr>
                <w:rFonts w:cs="Arial"/>
              </w:rPr>
            </w:pPr>
            <w:r>
              <w:rPr>
                <w:rFonts w:cs="Arial"/>
              </w:rPr>
              <w:t>8,8</w:t>
            </w:r>
          </w:p>
        </w:tc>
        <w:tc>
          <w:tcPr>
            <w:tcW w:w="1495" w:type="dxa"/>
            <w:tcBorders>
              <w:top w:val="single" w:sz="4" w:space="0" w:color="auto"/>
              <w:left w:val="nil"/>
              <w:bottom w:val="single" w:sz="4" w:space="0" w:color="auto"/>
              <w:right w:val="single" w:sz="4" w:space="0" w:color="auto"/>
            </w:tcBorders>
            <w:vAlign w:val="center"/>
            <w:hideMark/>
          </w:tcPr>
          <w:p>
            <w:pPr>
              <w:spacing w:before="0"/>
              <w:jc w:val="center"/>
              <w:rPr>
                <w:rFonts w:cs="Arial"/>
              </w:rPr>
            </w:pPr>
            <w:r>
              <w:rPr>
                <w:rFonts w:cs="Arial"/>
              </w:rPr>
              <w:t>35</w:t>
            </w:r>
          </w:p>
        </w:tc>
        <w:tc>
          <w:tcPr>
            <w:tcW w:w="1495" w:type="dxa"/>
            <w:tcBorders>
              <w:top w:val="nil"/>
              <w:left w:val="single" w:sz="4" w:space="0" w:color="auto"/>
              <w:bottom w:val="single" w:sz="4" w:space="0" w:color="auto"/>
              <w:right w:val="single" w:sz="4" w:space="0" w:color="auto"/>
            </w:tcBorders>
            <w:vAlign w:val="center"/>
            <w:hideMark/>
          </w:tcPr>
          <w:p>
            <w:pPr>
              <w:spacing w:before="0"/>
              <w:jc w:val="center"/>
              <w:rPr>
                <w:rFonts w:cs="Arial"/>
              </w:rPr>
            </w:pPr>
            <w:r>
              <w:rPr>
                <w:rFonts w:cs="Arial"/>
              </w:rPr>
              <w:t>6</w:t>
            </w:r>
          </w:p>
        </w:tc>
        <w:tc>
          <w:tcPr>
            <w:tcW w:w="1276" w:type="dxa"/>
            <w:tcBorders>
              <w:top w:val="nil"/>
              <w:left w:val="nil"/>
              <w:bottom w:val="single" w:sz="4" w:space="0" w:color="auto"/>
              <w:right w:val="single" w:sz="4" w:space="0" w:color="auto"/>
            </w:tcBorders>
            <w:vAlign w:val="center"/>
            <w:hideMark/>
          </w:tcPr>
          <w:p>
            <w:pPr>
              <w:spacing w:before="0"/>
              <w:jc w:val="center"/>
              <w:rPr>
                <w:rFonts w:cs="Arial"/>
              </w:rPr>
            </w:pPr>
            <w:r>
              <w:rPr>
                <w:rFonts w:cs="Arial"/>
              </w:rPr>
              <w:t>96,6</w:t>
            </w:r>
          </w:p>
        </w:tc>
        <w:tc>
          <w:tcPr>
            <w:tcW w:w="1276" w:type="dxa"/>
            <w:tcBorders>
              <w:top w:val="nil"/>
              <w:left w:val="nil"/>
              <w:bottom w:val="single" w:sz="4" w:space="0" w:color="auto"/>
              <w:right w:val="single" w:sz="4" w:space="0" w:color="auto"/>
            </w:tcBorders>
            <w:vAlign w:val="center"/>
          </w:tcPr>
          <w:p>
            <w:pPr>
              <w:spacing w:before="0"/>
              <w:jc w:val="center"/>
              <w:rPr>
                <w:rFonts w:cs="Arial"/>
              </w:rPr>
            </w:pPr>
            <w:r>
              <w:rPr>
                <w:rFonts w:cs="Arial"/>
              </w:rPr>
              <w:t>90</w:t>
            </w:r>
          </w:p>
        </w:tc>
      </w:tr>
      <w:tr>
        <w:trPr>
          <w:trHeight w:val="435"/>
          <w:jc w:val="center"/>
        </w:trPr>
        <w:tc>
          <w:tcPr>
            <w:tcW w:w="2825" w:type="dxa"/>
            <w:tcBorders>
              <w:top w:val="single" w:sz="4" w:space="0" w:color="auto"/>
              <w:left w:val="single" w:sz="4" w:space="0" w:color="auto"/>
              <w:bottom w:val="single" w:sz="4" w:space="0" w:color="auto"/>
              <w:right w:val="single" w:sz="4" w:space="0" w:color="auto"/>
            </w:tcBorders>
            <w:noWrap/>
            <w:vAlign w:val="center"/>
            <w:hideMark/>
          </w:tcPr>
          <w:p>
            <w:pPr>
              <w:spacing w:before="0"/>
              <w:jc w:val="center"/>
              <w:rPr>
                <w:rFonts w:cs="Arial"/>
              </w:rPr>
            </w:pPr>
            <w:r>
              <w:rPr>
                <w:rFonts w:cs="Arial"/>
              </w:rPr>
              <w:t>NGL</w:t>
            </w:r>
          </w:p>
        </w:tc>
        <w:tc>
          <w:tcPr>
            <w:tcW w:w="1417" w:type="dxa"/>
            <w:tcBorders>
              <w:top w:val="single" w:sz="4" w:space="0" w:color="auto"/>
              <w:left w:val="nil"/>
              <w:bottom w:val="single" w:sz="4" w:space="0" w:color="auto"/>
              <w:right w:val="single" w:sz="4" w:space="0" w:color="auto"/>
            </w:tcBorders>
            <w:vAlign w:val="center"/>
            <w:hideMark/>
          </w:tcPr>
          <w:p>
            <w:pPr>
              <w:spacing w:before="0"/>
              <w:jc w:val="center"/>
              <w:rPr>
                <w:rFonts w:cs="Arial"/>
              </w:rPr>
            </w:pPr>
            <w:r>
              <w:rPr>
                <w:rFonts w:cs="Arial"/>
              </w:rPr>
              <w:t>9,2</w:t>
            </w:r>
          </w:p>
        </w:tc>
        <w:tc>
          <w:tcPr>
            <w:tcW w:w="1495" w:type="dxa"/>
            <w:tcBorders>
              <w:top w:val="single" w:sz="4" w:space="0" w:color="auto"/>
              <w:left w:val="nil"/>
              <w:bottom w:val="single" w:sz="4" w:space="0" w:color="auto"/>
              <w:right w:val="single" w:sz="4" w:space="0" w:color="auto"/>
            </w:tcBorders>
            <w:vAlign w:val="center"/>
            <w:hideMark/>
          </w:tcPr>
          <w:p>
            <w:pPr>
              <w:spacing w:before="0"/>
              <w:jc w:val="center"/>
              <w:rPr>
                <w:rFonts w:cs="Arial"/>
              </w:rPr>
            </w:pPr>
            <w:r>
              <w:rPr>
                <w:rFonts w:cs="Arial"/>
              </w:rPr>
              <w:t>20</w:t>
            </w:r>
          </w:p>
        </w:tc>
        <w:tc>
          <w:tcPr>
            <w:tcW w:w="1495" w:type="dxa"/>
            <w:tcBorders>
              <w:top w:val="single" w:sz="4" w:space="0" w:color="auto"/>
              <w:left w:val="single" w:sz="4" w:space="0" w:color="auto"/>
              <w:bottom w:val="single" w:sz="4" w:space="0" w:color="auto"/>
              <w:right w:val="single" w:sz="4" w:space="0" w:color="auto"/>
            </w:tcBorders>
            <w:vAlign w:val="center"/>
            <w:hideMark/>
          </w:tcPr>
          <w:p>
            <w:pPr>
              <w:spacing w:before="0"/>
              <w:jc w:val="center"/>
              <w:rPr>
                <w:rFonts w:cs="Arial"/>
              </w:rPr>
            </w:pPr>
            <w:r>
              <w:rPr>
                <w:rFonts w:cs="Arial"/>
              </w:rPr>
              <w:t>2</w:t>
            </w:r>
          </w:p>
        </w:tc>
        <w:tc>
          <w:tcPr>
            <w:tcW w:w="1276" w:type="dxa"/>
            <w:tcBorders>
              <w:top w:val="single" w:sz="4" w:space="0" w:color="auto"/>
              <w:left w:val="nil"/>
              <w:bottom w:val="single" w:sz="4" w:space="0" w:color="auto"/>
              <w:right w:val="single" w:sz="4" w:space="0" w:color="auto"/>
            </w:tcBorders>
            <w:vAlign w:val="center"/>
            <w:hideMark/>
          </w:tcPr>
          <w:p>
            <w:pPr>
              <w:spacing w:before="0"/>
              <w:jc w:val="center"/>
              <w:rPr>
                <w:rFonts w:cs="Arial"/>
              </w:rPr>
            </w:pPr>
            <w:r>
              <w:rPr>
                <w:rFonts w:cs="Arial"/>
              </w:rPr>
              <w:t>90,6</w:t>
            </w:r>
          </w:p>
        </w:tc>
        <w:tc>
          <w:tcPr>
            <w:tcW w:w="1276" w:type="dxa"/>
            <w:tcBorders>
              <w:top w:val="single" w:sz="4" w:space="0" w:color="auto"/>
              <w:left w:val="nil"/>
              <w:bottom w:val="single" w:sz="4" w:space="0" w:color="auto"/>
              <w:right w:val="single" w:sz="4" w:space="0" w:color="auto"/>
            </w:tcBorders>
            <w:vAlign w:val="center"/>
          </w:tcPr>
          <w:p>
            <w:pPr>
              <w:spacing w:before="0"/>
              <w:jc w:val="center"/>
              <w:rPr>
                <w:rFonts w:cs="Arial"/>
              </w:rPr>
            </w:pPr>
            <w:r>
              <w:rPr>
                <w:rFonts w:cs="Arial"/>
              </w:rPr>
              <w:t>70</w:t>
            </w:r>
          </w:p>
        </w:tc>
      </w:tr>
    </w:tbl>
    <w:p>
      <w:pPr>
        <w:pStyle w:val="Titre2"/>
      </w:pPr>
      <w:bookmarkStart w:id="16" w:name="_Toc46480259"/>
      <w:bookmarkStart w:id="17" w:name="_Toc92700753"/>
      <w:r>
        <w:t>Campagne de mesures</w:t>
      </w:r>
      <w:bookmarkEnd w:id="17"/>
    </w:p>
    <w:p>
      <w:r>
        <w:t>Une campagne de mesures a été réalisée du 15 janvier 2020 au 18 mai 2020. Cette campagne a consisté à étudier :</w:t>
      </w:r>
    </w:p>
    <w:p>
      <w:pPr>
        <w:pStyle w:val="Retrait0Bleu"/>
        <w:outlineLvl w:val="0"/>
      </w:pPr>
      <w:r>
        <w:t>8 points de mesures :</w:t>
      </w:r>
    </w:p>
    <w:p>
      <w:pPr>
        <w:pStyle w:val="Retrait20"/>
        <w:ind w:left="964" w:hanging="284"/>
      </w:pPr>
      <w:r>
        <w:t>1 point de mesure au niveau du PR des Picholines = point de mesure n°1</w:t>
      </w:r>
    </w:p>
    <w:p>
      <w:pPr>
        <w:pStyle w:val="Retrait20"/>
        <w:ind w:left="964" w:hanging="284"/>
      </w:pPr>
      <w:r>
        <w:t>1 point de mesure au niveau de l’Ouest du village de Saint-</w:t>
      </w:r>
      <w:proofErr w:type="spellStart"/>
      <w:r>
        <w:t>Gervasy</w:t>
      </w:r>
      <w:proofErr w:type="spellEnd"/>
      <w:r>
        <w:t xml:space="preserve"> = point de mesure n°2 ;</w:t>
      </w:r>
    </w:p>
    <w:p>
      <w:pPr>
        <w:pStyle w:val="Retrait20"/>
        <w:ind w:left="964" w:hanging="284"/>
      </w:pPr>
      <w:r>
        <w:t>1 point de mesure au niveau de l’Est du village de Saint-</w:t>
      </w:r>
      <w:proofErr w:type="spellStart"/>
      <w:r>
        <w:t>Gervasy</w:t>
      </w:r>
      <w:proofErr w:type="spellEnd"/>
      <w:r>
        <w:t xml:space="preserve"> = point de mesure n°3 ;</w:t>
      </w:r>
    </w:p>
    <w:p>
      <w:pPr>
        <w:pStyle w:val="Retrait20"/>
        <w:ind w:left="964" w:hanging="284"/>
      </w:pPr>
      <w:r>
        <w:t xml:space="preserve">1 point de mesure au niveau de la commune de </w:t>
      </w:r>
      <w:proofErr w:type="spellStart"/>
      <w:r>
        <w:t>Cabrières</w:t>
      </w:r>
      <w:proofErr w:type="spellEnd"/>
      <w:r>
        <w:t xml:space="preserve"> = point de mesure n°4 ;</w:t>
      </w:r>
    </w:p>
    <w:p>
      <w:pPr>
        <w:pStyle w:val="Retrait20"/>
        <w:ind w:left="964" w:hanging="284"/>
      </w:pPr>
      <w:r>
        <w:t xml:space="preserve">1 point de mesure au niveau du Nord du village de </w:t>
      </w:r>
      <w:proofErr w:type="spellStart"/>
      <w:r>
        <w:t>Bezouce</w:t>
      </w:r>
      <w:proofErr w:type="spellEnd"/>
      <w:r>
        <w:t xml:space="preserve"> = point de mesure n°5 ;</w:t>
      </w:r>
    </w:p>
    <w:p>
      <w:pPr>
        <w:pStyle w:val="Retrait20"/>
        <w:ind w:left="964" w:hanging="284"/>
      </w:pPr>
      <w:r>
        <w:t xml:space="preserve">1 point de mesure au niveau du Sud du village de </w:t>
      </w:r>
      <w:proofErr w:type="spellStart"/>
      <w:r>
        <w:t>Bezouce</w:t>
      </w:r>
      <w:proofErr w:type="spellEnd"/>
      <w:r>
        <w:t xml:space="preserve"> = point de mesure n°6 ;</w:t>
      </w:r>
    </w:p>
    <w:p>
      <w:pPr>
        <w:pStyle w:val="Retrait20"/>
        <w:ind w:left="964" w:hanging="284"/>
      </w:pPr>
      <w:r>
        <w:lastRenderedPageBreak/>
        <w:t>1 point de mesure au niveau de la station d’épuration (analyse des données d’auto-surveillance) = point de mesure n°7</w:t>
      </w:r>
    </w:p>
    <w:p>
      <w:pPr>
        <w:pStyle w:val="Retrait20"/>
        <w:ind w:left="964" w:hanging="284"/>
      </w:pPr>
      <w:r>
        <w:t>1 point de mesure au niveau du répartiteur situé en amont de la station de Saint-</w:t>
      </w:r>
      <w:proofErr w:type="spellStart"/>
      <w:r>
        <w:t>Gervasy</w:t>
      </w:r>
      <w:proofErr w:type="spellEnd"/>
      <w:r>
        <w:t xml:space="preserve"> (analyse des données d’auto-surveillance) = point de mesure n°8</w:t>
      </w:r>
    </w:p>
    <w:p>
      <w:r>
        <w:t>Les points de mesures ont permis de caractériser 7 secteurs (bassins de collecte) :</w:t>
      </w:r>
    </w:p>
    <w:p>
      <w:pPr>
        <w:pStyle w:val="Retrait20"/>
        <w:ind w:left="964" w:hanging="284"/>
      </w:pPr>
      <w:r>
        <w:t>Le secteur 1 caractérisé par le point de mesures n°1 : ce secteur concerne l’ensemble des eaux usées arrivant au PR des Picholines ;</w:t>
      </w:r>
    </w:p>
    <w:p>
      <w:pPr>
        <w:pStyle w:val="Retrait20"/>
        <w:ind w:left="964" w:hanging="284"/>
      </w:pPr>
      <w:r>
        <w:t>Le secteur 2 caractérisé par la différence entre le point de mesure n°2 et le point de mesure 1 : ce secteur concerne l’ensemble des eaux usées provenant de l’Ouest du village de la commune de Saint-</w:t>
      </w:r>
      <w:proofErr w:type="spellStart"/>
      <w:r>
        <w:t>Gervasy</w:t>
      </w:r>
      <w:proofErr w:type="spellEnd"/>
      <w:r>
        <w:t xml:space="preserve"> à l’aval du PR de la Picholine ;</w:t>
      </w:r>
    </w:p>
    <w:p>
      <w:pPr>
        <w:pStyle w:val="Retrait20"/>
        <w:ind w:left="964" w:hanging="284"/>
      </w:pPr>
      <w:r>
        <w:t>Le secteur 3 caractérisé par le point de mesure n°3 : ce secteur concerne l’ensemble des eaux usées provenant de l’Est du village de la commune de Saint-</w:t>
      </w:r>
      <w:proofErr w:type="spellStart"/>
      <w:r>
        <w:t>Gervasy</w:t>
      </w:r>
      <w:proofErr w:type="spellEnd"/>
      <w:r>
        <w:t xml:space="preserve"> ;</w:t>
      </w:r>
    </w:p>
    <w:p>
      <w:pPr>
        <w:pStyle w:val="Retrait20"/>
        <w:ind w:left="964" w:hanging="284"/>
      </w:pPr>
      <w:r>
        <w:t xml:space="preserve">Le secteur 4 caractérisé par le point de mesure n°4 : ce secteur concerne l’ensemble des eaux usées provenant de la commune de </w:t>
      </w:r>
      <w:proofErr w:type="spellStart"/>
      <w:r>
        <w:t>Cabrières</w:t>
      </w:r>
      <w:proofErr w:type="spellEnd"/>
      <w:r>
        <w:t xml:space="preserve"> ;</w:t>
      </w:r>
    </w:p>
    <w:p>
      <w:pPr>
        <w:pStyle w:val="Retrait20"/>
        <w:ind w:left="964" w:hanging="284"/>
      </w:pPr>
      <w:r>
        <w:t xml:space="preserve">Le secteur 5 caractérisé par le point de mesures n°5 : ce secteur concerne l’ensemble des eaux usées provenant du Nord du village de la commune de </w:t>
      </w:r>
      <w:proofErr w:type="spellStart"/>
      <w:r>
        <w:t>Bezouce</w:t>
      </w:r>
      <w:proofErr w:type="spellEnd"/>
      <w:r>
        <w:t xml:space="preserve"> ;</w:t>
      </w:r>
    </w:p>
    <w:p>
      <w:pPr>
        <w:pStyle w:val="Retrait20"/>
        <w:ind w:left="964" w:hanging="284"/>
      </w:pPr>
      <w:r>
        <w:t xml:space="preserve">Le secteur 6 caractérisé par la différence entre le point de mesure n°6 et le point de mesure n°5 : ce secteur concerne l’ensemble des eaux usées provenant du Sud du village de la commune de </w:t>
      </w:r>
      <w:proofErr w:type="spellStart"/>
      <w:r>
        <w:t>Bezouce</w:t>
      </w:r>
      <w:proofErr w:type="spellEnd"/>
      <w:r>
        <w:t xml:space="preserve"> ;</w:t>
      </w:r>
    </w:p>
    <w:p>
      <w:pPr>
        <w:pStyle w:val="Retrait20"/>
        <w:ind w:left="964" w:hanging="284"/>
      </w:pPr>
      <w:r>
        <w:t>Le secteur 7 caractérisé par la différence entre le point de mesure n°7 et les points de mesure n°2, 3, 4 et 6 : ce secteur concerne l’ensemble des eaux usées en amont de la station d’épuration.</w:t>
      </w:r>
    </w:p>
    <w:p>
      <w:pPr>
        <w:pStyle w:val="Retrait20"/>
        <w:numPr>
          <w:ilvl w:val="0"/>
          <w:numId w:val="0"/>
        </w:numPr>
        <w:ind w:left="964"/>
      </w:pPr>
    </w:p>
    <w:p>
      <w:pPr>
        <w:pStyle w:val="Lgende"/>
        <w:jc w:val="center"/>
        <w:outlineLvl w:val="0"/>
        <w:rPr>
          <w:iCs w:val="0"/>
          <w:szCs w:val="20"/>
        </w:rPr>
      </w:pPr>
      <w:r>
        <w:rPr>
          <w:noProof/>
        </w:rPr>
        <w:lastRenderedPageBreak/>
        <mc:AlternateContent>
          <mc:Choice Requires="wps">
            <w:drawing>
              <wp:anchor distT="0" distB="0" distL="114300" distR="114300" simplePos="0" relativeHeight="251673600" behindDoc="0" locked="0" layoutInCell="1" allowOverlap="1">
                <wp:simplePos x="0" y="0"/>
                <wp:positionH relativeFrom="column">
                  <wp:posOffset>2614295</wp:posOffset>
                </wp:positionH>
                <wp:positionV relativeFrom="paragraph">
                  <wp:posOffset>5673090</wp:posOffset>
                </wp:positionV>
                <wp:extent cx="229235" cy="313055"/>
                <wp:effectExtent l="5080" t="2540" r="3810" b="8255"/>
                <wp:wrapNone/>
                <wp:docPr id="1355" name="Zone de texte 13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235" cy="313055"/>
                        </a:xfrm>
                        <a:prstGeom prst="rect">
                          <a:avLst/>
                        </a:prstGeom>
                        <a:solidFill>
                          <a:srgbClr val="FFFFFF">
                            <a:alpha val="38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pPr>
                              <w:rPr>
                                <w:b/>
                              </w:rPr>
                            </w:pPr>
                            <w:r>
                              <w:rPr>
                                <w:b/>
                              </w:rPr>
                              <w:t>7</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Zone de texte 1355" o:spid="_x0000_s1026" type="#_x0000_t202" style="position:absolute;left:0;text-align:left;margin-left:205.85pt;margin-top:446.7pt;width:18.05pt;height:24.65pt;z-index:25167360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" stroked="f">
                <v:fill opacity="24929f"/>
                <v:textbox style="mso-fit-shape-to-text:t">
                  <w:txbxContent>
                    <w:p>
                      <w:pPr>
                        <w:rPr>
                          <w:b/>
                        </w:rPr>
                      </w:pPr>
                      <w:r>
                        <w:rPr>
                          <w:b/>
                        </w:rPr>
                        <w:t>7</w:t>
                      </w:r>
                    </w:p>
                  </w:txbxContent>
                </v:textbox>
              </v:shape>
            </w:pict>
          </mc:Fallback>
        </mc:AlternateContent>
      </w:r>
      <w:r>
        <w:rPr>
          <w:b/>
          <w:smallCaps/>
          <w:noProof/>
        </w:rPr>
        <mc:AlternateContent>
          <mc:Choice Requires="wps">
            <w:drawing>
              <wp:anchor distT="0" distB="0" distL="114300" distR="114300" simplePos="0" relativeHeight="251669504" behindDoc="0" locked="0" layoutInCell="1" allowOverlap="1">
                <wp:simplePos x="0" y="0"/>
                <wp:positionH relativeFrom="column">
                  <wp:posOffset>3798570</wp:posOffset>
                </wp:positionH>
                <wp:positionV relativeFrom="paragraph">
                  <wp:posOffset>5217160</wp:posOffset>
                </wp:positionV>
                <wp:extent cx="229235" cy="313055"/>
                <wp:effectExtent l="1905" t="5080" r="6985" b="5715"/>
                <wp:wrapNone/>
                <wp:docPr id="1354" name="Zone de texte 13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235" cy="313055"/>
                        </a:xfrm>
                        <a:prstGeom prst="rect">
                          <a:avLst/>
                        </a:prstGeom>
                        <a:solidFill>
                          <a:srgbClr val="FFFFFF">
                            <a:alpha val="38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pPr>
                              <w:rPr>
                                <w:b/>
                              </w:rPr>
                            </w:pPr>
                            <w:r>
                              <w:rPr>
                                <w:b/>
                              </w:rPr>
                              <w:t>6</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Zone de texte 1354" o:spid="_x0000_s1027" type="#_x0000_t202" style="position:absolute;left:0;text-align:left;margin-left:299.1pt;margin-top:410.8pt;width:18.05pt;height:24.65pt;z-index:25166950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" stroked="f">
                <v:fill opacity="24929f"/>
                <v:textbox style="mso-fit-shape-to-text:t">
                  <w:txbxContent>
                    <w:p>
                      <w:pPr>
                        <w:rPr>
                          <w:b/>
                        </w:rPr>
                      </w:pPr>
                      <w:r>
                        <w:rPr>
                          <w:b/>
                        </w:rPr>
                        <w:t>6</w:t>
                      </w:r>
                    </w:p>
                  </w:txbxContent>
                </v:textbox>
              </v:shape>
            </w:pict>
          </mc:Fallback>
        </mc:AlternateContent>
      </w:r>
      <w:r>
        <w:rPr>
          <w:iCs w:val="0"/>
          <w:noProof/>
          <w:szCs w:val="20"/>
        </w:rPr>
        <mc:AlternateContent>
          <mc:Choice Requires="wps">
            <w:drawing>
              <wp:anchor distT="0" distB="0" distL="114300" distR="114300" simplePos="0" relativeHeight="251665408" behindDoc="0" locked="0" layoutInCell="1" allowOverlap="1">
                <wp:simplePos x="0" y="0"/>
                <wp:positionH relativeFrom="column">
                  <wp:posOffset>3789680</wp:posOffset>
                </wp:positionH>
                <wp:positionV relativeFrom="paragraph">
                  <wp:posOffset>4072255</wp:posOffset>
                </wp:positionV>
                <wp:extent cx="229235" cy="313055"/>
                <wp:effectExtent l="3175" t="1270" r="5715" b="0"/>
                <wp:wrapNone/>
                <wp:docPr id="23" name="Zone de texte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235" cy="313055"/>
                        </a:xfrm>
                        <a:prstGeom prst="rect">
                          <a:avLst/>
                        </a:prstGeom>
                        <a:solidFill>
                          <a:srgbClr val="FFFFFF">
                            <a:alpha val="38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pPr>
                              <w:rPr>
                                <w:b/>
                              </w:rPr>
                            </w:pPr>
                            <w:r>
                              <w:rPr>
                                <w:b/>
                              </w:rPr>
                              <w:t>5</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Zone de texte 23" o:spid="_x0000_s1028" type="#_x0000_t202" style="position:absolute;left:0;text-align:left;margin-left:298.4pt;margin-top:320.65pt;width:18.05pt;height:24.65pt;z-index:25166540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" stroked="f">
                <v:fill opacity="24929f"/>
                <v:textbox style="mso-fit-shape-to-text:t">
                  <w:txbxContent>
                    <w:p>
                      <w:pPr>
                        <w:rPr>
                          <w:b/>
                        </w:rPr>
                      </w:pPr>
                      <w:r>
                        <w:rPr>
                          <w:b/>
                        </w:rPr>
                        <w:t>5</w:t>
                      </w:r>
                    </w:p>
                  </w:txbxContent>
                </v:textbox>
              </v:shape>
            </w:pict>
          </mc:Fallback>
        </mc:AlternateContent>
      </w:r>
      <w:r>
        <w:rPr>
          <w:iCs w:val="0"/>
          <w:noProof/>
          <w:szCs w:val="20"/>
        </w:rPr>
        <mc:AlternateContent>
          <mc:Choice Requires="wps">
            <w:drawing>
              <wp:anchor distT="0" distB="0" distL="114300" distR="114300" simplePos="0" relativeHeight="251661312" behindDoc="0" locked="0" layoutInCell="1" allowOverlap="1">
                <wp:simplePos x="0" y="0"/>
                <wp:positionH relativeFrom="column">
                  <wp:posOffset>2240915</wp:posOffset>
                </wp:positionH>
                <wp:positionV relativeFrom="paragraph">
                  <wp:posOffset>2171700</wp:posOffset>
                </wp:positionV>
                <wp:extent cx="229235" cy="313055"/>
                <wp:effectExtent l="1270" t="635" r="7620" b="635"/>
                <wp:wrapNone/>
                <wp:docPr id="16" name="Zone de texte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235" cy="313055"/>
                        </a:xfrm>
                        <a:prstGeom prst="rect">
                          <a:avLst/>
                        </a:prstGeom>
                        <a:solidFill>
                          <a:srgbClr val="FFFFFF">
                            <a:alpha val="38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pPr>
                              <w:rPr>
                                <w:b/>
                              </w:rPr>
                            </w:pPr>
                            <w:r>
                              <w:rPr>
                                <w:b/>
                              </w:rPr>
                              <w:t>4</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Zone de texte 16" o:spid="_x0000_s1029" type="#_x0000_t202" style="position:absolute;left:0;text-align:left;margin-left:176.45pt;margin-top:171pt;width:18.05pt;height:24.65pt;z-index:25166131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" stroked="f">
                <v:fill opacity="24929f"/>
                <v:textbox style="mso-fit-shape-to-text:t">
                  <w:txbxContent>
                    <w:p>
                      <w:pPr>
                        <w:rPr>
                          <w:b/>
                        </w:rPr>
                      </w:pPr>
                      <w:r>
                        <w:rPr>
                          <w:b/>
                        </w:rPr>
                        <w:t>4</w:t>
                      </w:r>
                    </w:p>
                  </w:txbxContent>
                </v:textbox>
              </v:shape>
            </w:pict>
          </mc:Fallback>
        </mc:AlternateContent>
      </w:r>
      <w:r>
        <w:rPr>
          <w:iCs w:val="0"/>
          <w:noProof/>
          <w:szCs w:val="20"/>
        </w:rPr>
        <mc:AlternateContent>
          <mc:Choice Requires="wps">
            <w:drawing>
              <wp:anchor distT="0" distB="0" distL="114300" distR="114300" simplePos="0" relativeHeight="251655168" behindDoc="0" locked="0" layoutInCell="1" allowOverlap="1">
                <wp:simplePos x="0" y="0"/>
                <wp:positionH relativeFrom="column">
                  <wp:posOffset>1850390</wp:posOffset>
                </wp:positionH>
                <wp:positionV relativeFrom="paragraph">
                  <wp:posOffset>5356225</wp:posOffset>
                </wp:positionV>
                <wp:extent cx="229235" cy="313055"/>
                <wp:effectExtent l="1270" t="6985" r="7620" b="3810"/>
                <wp:wrapNone/>
                <wp:docPr id="13" name="Zone de texte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235" cy="313055"/>
                        </a:xfrm>
                        <a:prstGeom prst="rect">
                          <a:avLst/>
                        </a:prstGeom>
                        <a:solidFill>
                          <a:srgbClr val="FFFFFF">
                            <a:alpha val="38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pPr>
                              <w:rPr>
                                <w:b/>
                              </w:rPr>
                            </w:pPr>
                            <w:r>
                              <w:rPr>
                                <w:b/>
                              </w:rPr>
                              <w:t>3</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Zone de texte 13" o:spid="_x0000_s1030" type="#_x0000_t202" style="position:absolute;left:0;text-align:left;margin-left:145.7pt;margin-top:421.75pt;width:18.05pt;height:24.65pt;z-index:25165516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" stroked="f">
                <v:fill opacity="24929f"/>
                <v:textbox style="mso-fit-shape-to-text:t">
                  <w:txbxContent>
                    <w:p>
                      <w:pPr>
                        <w:rPr>
                          <w:b/>
                        </w:rPr>
                      </w:pPr>
                      <w:r>
                        <w:rPr>
                          <w:b/>
                        </w:rPr>
                        <w:t>3</w:t>
                      </w:r>
                    </w:p>
                  </w:txbxContent>
                </v:textbox>
              </v:shape>
            </w:pict>
          </mc:Fallback>
        </mc:AlternateContent>
      </w:r>
      <w:r>
        <w:rPr>
          <w:iCs w:val="0"/>
          <w:noProof/>
          <w:szCs w:val="20"/>
        </w:rPr>
        <mc:AlternateContent>
          <mc:Choice Requires="wps">
            <w:drawing>
              <wp:anchor distT="0" distB="0" distL="114300" distR="114300" simplePos="0" relativeHeight="251653120" behindDoc="0" locked="0" layoutInCell="1" allowOverlap="1">
                <wp:simplePos x="0" y="0"/>
                <wp:positionH relativeFrom="column">
                  <wp:posOffset>1111250</wp:posOffset>
                </wp:positionH>
                <wp:positionV relativeFrom="paragraph">
                  <wp:posOffset>6026785</wp:posOffset>
                </wp:positionV>
                <wp:extent cx="229235" cy="313055"/>
                <wp:effectExtent l="8890" t="5080" r="0" b="5715"/>
                <wp:wrapNone/>
                <wp:docPr id="11" name="Zone de texte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235" cy="313055"/>
                        </a:xfrm>
                        <a:prstGeom prst="rect">
                          <a:avLst/>
                        </a:prstGeom>
                        <a:solidFill>
                          <a:srgbClr val="FFFFFF">
                            <a:alpha val="38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pPr>
                              <w:rPr>
                                <w:b/>
                              </w:rPr>
                            </w:pPr>
                            <w:r>
                              <w:rPr>
                                <w:b/>
                              </w:rPr>
                              <w:t>2</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Zone de texte 11" o:spid="_x0000_s1031" type="#_x0000_t202" style="position:absolute;left:0;text-align:left;margin-left:87.5pt;margin-top:474.55pt;width:18.05pt;height:24.65pt;z-index:25165312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" stroked="f">
                <v:fill opacity="24929f"/>
                <v:textbox style="mso-fit-shape-to-text:t">
                  <w:txbxContent>
                    <w:p>
                      <w:pPr>
                        <w:rPr>
                          <w:b/>
                        </w:rPr>
                      </w:pPr>
                      <w:r>
                        <w:rPr>
                          <w:b/>
                        </w:rPr>
                        <w:t>2</w:t>
                      </w:r>
                    </w:p>
                  </w:txbxContent>
                </v:textbox>
              </v:shape>
            </w:pict>
          </mc:Fallback>
        </mc:AlternateContent>
      </w:r>
      <w:r>
        <w:rPr>
          <w:noProof/>
        </w:rPr>
        <mc:AlternateContent>
          <mc:Choice Requires="wps">
            <w:drawing>
              <wp:anchor distT="0" distB="0" distL="114300" distR="114300" simplePos="0" relativeHeight="251649024" behindDoc="0" locked="0" layoutInCell="1" allowOverlap="1">
                <wp:simplePos x="0" y="0"/>
                <wp:positionH relativeFrom="column">
                  <wp:posOffset>532130</wp:posOffset>
                </wp:positionH>
                <wp:positionV relativeFrom="paragraph">
                  <wp:posOffset>5868670</wp:posOffset>
                </wp:positionV>
                <wp:extent cx="229235" cy="313055"/>
                <wp:effectExtent l="3175" t="3175" r="5715" b="7620"/>
                <wp:wrapNone/>
                <wp:docPr id="6" name="Zone de texte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235" cy="313055"/>
                        </a:xfrm>
                        <a:prstGeom prst="rect">
                          <a:avLst/>
                        </a:prstGeom>
                        <a:solidFill>
                          <a:srgbClr val="FFFFFF">
                            <a:alpha val="38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pPr>
                              <w:rPr>
                                <w:b/>
                              </w:rPr>
                            </w:pPr>
                            <w:r>
                              <w:rPr>
                                <w:b/>
                              </w:rPr>
                              <w:t>1</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Zone de texte 6" o:spid="_x0000_s1032" type="#_x0000_t202" style="position:absolute;left:0;text-align:left;margin-left:41.9pt;margin-top:462.1pt;width:18.05pt;height:24.65pt;z-index:25164902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" stroked="f">
                <v:fill opacity="24929f"/>
                <v:textbox style="mso-fit-shape-to-text:t">
                  <w:txbxContent>
                    <w:p>
                      <w:pPr>
                        <w:rPr>
                          <w:b/>
                        </w:rPr>
                      </w:pPr>
                      <w:r>
                        <w:rPr>
                          <w:b/>
                        </w:rPr>
                        <w:t>1</w:t>
                      </w:r>
                    </w:p>
                  </w:txbxContent>
                </v:textbox>
              </v:shape>
            </w:pict>
          </mc:Fallback>
        </mc:AlternateContent>
      </w:r>
      <w:r>
        <w:rPr>
          <w:i w:val="0"/>
          <w:noProof/>
        </w:rPr>
        <w:drawing>
          <wp:anchor distT="0" distB="0" distL="114300" distR="114300" simplePos="0" relativeHeight="251644928" behindDoc="0" locked="0" layoutInCell="1" allowOverlap="1">
            <wp:simplePos x="0" y="0"/>
            <wp:positionH relativeFrom="column">
              <wp:posOffset>4263910</wp:posOffset>
            </wp:positionH>
            <wp:positionV relativeFrom="paragraph">
              <wp:posOffset>6238240</wp:posOffset>
            </wp:positionV>
            <wp:extent cx="1929880" cy="942975"/>
            <wp:effectExtent l="19050" t="0" r="0" b="0"/>
            <wp:wrapNone/>
            <wp:docPr id="5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0" cstate="print"/>
                    <a:srcRect/>
                    <a:stretch>
                      <a:fillRect/>
                    </a:stretch>
                  </pic:blipFill>
                  <pic:spPr bwMode="auto">
                    <a:xfrm>
                      <a:off x="0" y="0"/>
                      <a:ext cx="1929880" cy="942975"/>
                    </a:xfrm>
                    <a:prstGeom prst="rect">
                      <a:avLst/>
                    </a:prstGeom>
                    <a:noFill/>
                    <a:ln w="9525">
                      <a:noFill/>
                      <a:miter lim="800000"/>
                      <a:headEnd/>
                      <a:tailEnd/>
                    </a:ln>
                  </pic:spPr>
                </pic:pic>
              </a:graphicData>
            </a:graphic>
          </wp:anchor>
        </w:drawing>
      </w:r>
      <w:r>
        <w:rPr>
          <w:i w:val="0"/>
          <w:noProof/>
        </w:rPr>
        <w:drawing>
          <wp:inline distT="0" distB="0" distL="0" distR="0">
            <wp:extent cx="6119495" cy="7183346"/>
            <wp:effectExtent l="19050" t="0" r="0" b="0"/>
            <wp:docPr id="49"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1" cstate="print"/>
                    <a:srcRect/>
                    <a:stretch>
                      <a:fillRect/>
                    </a:stretch>
                  </pic:blipFill>
                  <pic:spPr bwMode="auto">
                    <a:xfrm>
                      <a:off x="0" y="0"/>
                      <a:ext cx="6119495" cy="7183346"/>
                    </a:xfrm>
                    <a:prstGeom prst="rect">
                      <a:avLst/>
                    </a:prstGeom>
                    <a:noFill/>
                    <a:ln w="9525">
                      <a:noFill/>
                      <a:miter lim="800000"/>
                      <a:headEnd/>
                      <a:tailEnd/>
                    </a:ln>
                  </pic:spPr>
                </pic:pic>
              </a:graphicData>
            </a:graphic>
          </wp:inline>
        </w:drawing>
      </w:r>
    </w:p>
    <w:p>
      <w:pPr>
        <w:pStyle w:val="Lgende"/>
        <w:jc w:val="left"/>
        <w:outlineLvl w:val="0"/>
        <w:rPr>
          <w:iCs w:val="0"/>
          <w:szCs w:val="20"/>
        </w:rPr>
      </w:pPr>
      <w:r>
        <w:rPr>
          <w:iCs w:val="0"/>
          <w:szCs w:val="20"/>
        </w:rPr>
        <w:t>Bassins de collecte mis en œuvre durant la campagne de mesures</w:t>
      </w:r>
    </w:p>
    <w:p>
      <w:pPr>
        <w:pStyle w:val="Titre2"/>
      </w:pPr>
      <w:bookmarkStart w:id="18" w:name="_Toc92700754"/>
      <w:r>
        <w:t>Bilan des eaux parasites sur le système de collecte</w:t>
      </w:r>
      <w:bookmarkEnd w:id="16"/>
      <w:bookmarkEnd w:id="18"/>
    </w:p>
    <w:p>
      <w:pPr>
        <w:pStyle w:val="Titre3"/>
      </w:pPr>
      <w:bookmarkStart w:id="19" w:name="_Toc46480260"/>
      <w:bookmarkStart w:id="20" w:name="_Toc92700755"/>
      <w:r>
        <w:t>Eaux claires parasites permanentes (ECPP)</w:t>
      </w:r>
      <w:bookmarkEnd w:id="19"/>
      <w:bookmarkEnd w:id="20"/>
    </w:p>
    <w:p>
      <w:pPr>
        <w:rPr>
          <w:b/>
          <w:u w:val="single"/>
        </w:rPr>
      </w:pPr>
      <w:r>
        <w:rPr>
          <w:b/>
          <w:u w:val="single"/>
        </w:rPr>
        <w:t>Secteurs sensibles</w:t>
      </w:r>
    </w:p>
    <w:p>
      <w:r>
        <w:t>Les points de mesures mis en place sur le réseau durant la campagne de mesures permettent de préciser les secteurs sensibles aux entrées d’eaux parasites permanentes. Les volumes d’eaux parasites d’infiltration par temps sec proviennent principalement :</w:t>
      </w:r>
    </w:p>
    <w:p>
      <w:pPr>
        <w:pStyle w:val="Retrait20"/>
        <w:ind w:left="964" w:hanging="284"/>
      </w:pPr>
      <w:r>
        <w:t>Secteur 3 (Est Saint-</w:t>
      </w:r>
      <w:proofErr w:type="spellStart"/>
      <w:r>
        <w:t>Gervasy</w:t>
      </w:r>
      <w:proofErr w:type="spellEnd"/>
      <w:r>
        <w:t>) : 30% (96m</w:t>
      </w:r>
      <w:r>
        <w:rPr>
          <w:vertAlign w:val="superscript"/>
        </w:rPr>
        <w:t>3</w:t>
      </w:r>
      <w:r>
        <w:t>/j) du volume d’eaux parasites produit sur le système ;</w:t>
      </w:r>
    </w:p>
    <w:p>
      <w:pPr>
        <w:pStyle w:val="Retrait20"/>
        <w:ind w:left="964" w:hanging="284"/>
      </w:pPr>
      <w:r>
        <w:t>Secteur 4 (</w:t>
      </w:r>
      <w:proofErr w:type="spellStart"/>
      <w:r>
        <w:t>Cabrières</w:t>
      </w:r>
      <w:proofErr w:type="spellEnd"/>
      <w:r>
        <w:t>) : 26% (82m</w:t>
      </w:r>
      <w:r>
        <w:rPr>
          <w:vertAlign w:val="superscript"/>
        </w:rPr>
        <w:t>3</w:t>
      </w:r>
      <w:r>
        <w:t>/j) du volume d’eaux parasites produit sur le système ;</w:t>
      </w:r>
    </w:p>
    <w:p>
      <w:pPr>
        <w:pStyle w:val="Retrait20"/>
        <w:ind w:left="964" w:hanging="284"/>
      </w:pPr>
      <w:r>
        <w:t xml:space="preserve">Secteur 6 (Sud </w:t>
      </w:r>
      <w:proofErr w:type="spellStart"/>
      <w:r>
        <w:t>Bezouce</w:t>
      </w:r>
      <w:proofErr w:type="spellEnd"/>
      <w:r>
        <w:t>) : 20% (62m</w:t>
      </w:r>
      <w:r>
        <w:rPr>
          <w:vertAlign w:val="superscript"/>
        </w:rPr>
        <w:t>3</w:t>
      </w:r>
      <w:r>
        <w:t>/j) du volume d’eaux parasites produit sur le système ;</w:t>
      </w:r>
    </w:p>
    <w:p>
      <w:pPr>
        <w:pStyle w:val="Retrait20"/>
        <w:numPr>
          <w:ilvl w:val="0"/>
          <w:numId w:val="0"/>
        </w:numPr>
      </w:pPr>
    </w:p>
    <w:p>
      <w:pPr>
        <w:rPr>
          <w:b/>
        </w:rPr>
      </w:pPr>
      <w:r>
        <w:rPr>
          <w:b/>
        </w:rPr>
        <w:t xml:space="preserve">Le volume d’eaux parasites produit sur les communes de </w:t>
      </w:r>
      <w:proofErr w:type="spellStart"/>
      <w:r>
        <w:rPr>
          <w:b/>
        </w:rPr>
        <w:t>Bezouce</w:t>
      </w:r>
      <w:proofErr w:type="spellEnd"/>
      <w:r>
        <w:rPr>
          <w:b/>
        </w:rPr>
        <w:t>, Saint-</w:t>
      </w:r>
      <w:proofErr w:type="spellStart"/>
      <w:r>
        <w:rPr>
          <w:b/>
        </w:rPr>
        <w:t>Gervasy</w:t>
      </w:r>
      <w:proofErr w:type="spellEnd"/>
      <w:r>
        <w:rPr>
          <w:b/>
        </w:rPr>
        <w:t xml:space="preserve"> et </w:t>
      </w:r>
      <w:proofErr w:type="spellStart"/>
      <w:r>
        <w:rPr>
          <w:b/>
        </w:rPr>
        <w:t>Cabrières</w:t>
      </w:r>
      <w:proofErr w:type="spellEnd"/>
      <w:r>
        <w:rPr>
          <w:b/>
        </w:rPr>
        <w:t xml:space="preserve"> est de l’ordre de 317m</w:t>
      </w:r>
      <w:r>
        <w:rPr>
          <w:b/>
          <w:vertAlign w:val="superscript"/>
        </w:rPr>
        <w:t>3</w:t>
      </w:r>
      <w:r>
        <w:rPr>
          <w:b/>
        </w:rPr>
        <w:t>/j soit 31% du volume moyen journalier déterminé sur la charge hydraulique totale annuelle reçue à la station. Il s’agit d’un niveau acceptable au regard de l’indice linéaire d’étanchéité global à l’échelle du système de collecte (0,387m</w:t>
      </w:r>
      <w:r>
        <w:rPr>
          <w:b/>
          <w:vertAlign w:val="superscript"/>
        </w:rPr>
        <w:t>3</w:t>
      </w:r>
      <w:r>
        <w:rPr>
          <w:b/>
        </w:rPr>
        <w:t>/h/cm/km, « qualifié de peu sensible »).</w:t>
      </w:r>
    </w:p>
    <w:p>
      <w:pPr>
        <w:pStyle w:val="Retrait20"/>
        <w:numPr>
          <w:ilvl w:val="0"/>
          <w:numId w:val="0"/>
        </w:numPr>
      </w:pPr>
    </w:p>
    <w:p>
      <w:pPr>
        <w:rPr>
          <w:b/>
          <w:u w:val="single"/>
        </w:rPr>
      </w:pPr>
      <w:r>
        <w:rPr>
          <w:b/>
          <w:u w:val="single"/>
        </w:rPr>
        <w:t>Visites nocturnes</w:t>
      </w:r>
    </w:p>
    <w:p>
      <w:r>
        <w:t>Les visites nocturnes du réseau ont été réalisées dans les nuits du 28 au 29 avril 2020, lorsque les rejets d’eaux usées au réseau sont considérés comme négligeables. Les investigations nocturnes ont été réalisées en période de ressuyage après une pluie de 38mm en période de nappe moyennement haute.</w:t>
      </w:r>
    </w:p>
    <w:p>
      <w:r>
        <w:t>Des mesures ponctuelles du débit ont été réalisées afin de sectoriser les tronçons de réseau responsables d’entrées d’eaux claires parasites afin d’orienter le programme d’inspection télévisée.</w:t>
      </w:r>
    </w:p>
    <w:p>
      <w:pPr>
        <w:rPr>
          <w:i/>
        </w:rPr>
      </w:pPr>
      <w:r>
        <w:rPr>
          <w:noProof/>
        </w:rPr>
        <mc:AlternateContent>
          <mc:Choice Requires="wps">
            <w:drawing>
              <wp:anchor distT="0" distB="0" distL="114300" distR="114300" simplePos="0" relativeHeight="251651072" behindDoc="0" locked="0" layoutInCell="1" allowOverlap="1">
                <wp:simplePos x="0" y="0"/>
                <wp:positionH relativeFrom="column">
                  <wp:posOffset>3497967</wp:posOffset>
                </wp:positionH>
                <wp:positionV relativeFrom="paragraph">
                  <wp:posOffset>320343</wp:posOffset>
                </wp:positionV>
                <wp:extent cx="946150" cy="1031875"/>
                <wp:effectExtent l="0" t="0" r="25400" b="15875"/>
                <wp:wrapNone/>
                <wp:docPr id="224" name="Accolade fermante 2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46150" cy="1031875"/>
                        </a:xfrm>
                        <a:prstGeom prst="rightBrace">
                          <a:avLst>
                            <a:gd name="adj1" fmla="val 9088"/>
                            <a:gd name="adj2" fmla="val 50014"/>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Accolade fermante 224" o:spid="_x0000_s1026" type="#_x0000_t88" style="position:absolute;margin-left:275.45pt;margin-top:25.2pt;width:74.5pt;height:81.2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" adj=",10803"/>
            </w:pict>
          </mc:Fallback>
        </mc:AlternateContent>
      </w:r>
      <w:r>
        <w:t>Les investigations nocturnes ont permis de localiser des secteurs moyennement sensibles à très sensible aux entrées d’eaux parasites d’infiltration :</w:t>
      </w:r>
    </w:p>
    <w:p>
      <w:pPr>
        <w:pStyle w:val="Retrait20"/>
        <w:ind w:left="964" w:hanging="284"/>
      </w:pPr>
      <w:r>
        <w:rPr>
          <w:b/>
        </w:rPr>
        <w:t>Rue Neuve (165 ml)</w:t>
      </w:r>
    </w:p>
    <w:p>
      <w:pPr>
        <w:pStyle w:val="Retrait20"/>
        <w:ind w:left="964" w:hanging="284"/>
      </w:pPr>
      <w:r>
        <w:rPr>
          <w:b/>
          <w:noProof/>
          <w:color w:val="FF0000"/>
        </w:rPr>
        <mc:AlternateContent>
          <mc:Choice Requires="wps">
            <w:drawing>
              <wp:anchor distT="0" distB="0" distL="114300" distR="114300" simplePos="0" relativeHeight="251636736" behindDoc="0" locked="0" layoutInCell="1" allowOverlap="1">
                <wp:simplePos x="0" y="0"/>
                <wp:positionH relativeFrom="column">
                  <wp:posOffset>4447540</wp:posOffset>
                </wp:positionH>
                <wp:positionV relativeFrom="paragraph">
                  <wp:posOffset>70485</wp:posOffset>
                </wp:positionV>
                <wp:extent cx="1649095" cy="313055"/>
                <wp:effectExtent l="0" t="0" r="3175" b="1270"/>
                <wp:wrapNone/>
                <wp:docPr id="29" name="Zone de texte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49095" cy="313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
                              <w:t>3,64 m</w:t>
                            </w:r>
                            <w:r>
                              <w:rPr>
                                <w:vertAlign w:val="superscript"/>
                              </w:rPr>
                              <w:t>3</w:t>
                            </w:r>
                            <w:r>
                              <w:t>/h pour 766 ml</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Zone de texte 29" o:spid="_x0000_s1033" type="#_x0000_t202" style="position:absolute;left:0;text-align:left;margin-left:350.2pt;margin-top:5.55pt;width:129.85pt;height:24.65pt;z-index:25163673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" filled="f" stroked="f">
                <v:textbox style="mso-fit-shape-to-text:t">
                  <w:txbxContent>
                    <w:p>
                      <w:r>
                        <w:t>3,64 m</w:t>
                      </w:r>
                      <w:r>
                        <w:rPr>
                          <w:vertAlign w:val="superscript"/>
                        </w:rPr>
                        <w:t>3</w:t>
                      </w:r>
                      <w:r>
                        <w:t>/h pour 766 ml</w:t>
                      </w:r>
                    </w:p>
                  </w:txbxContent>
                </v:textbox>
              </v:shape>
            </w:pict>
          </mc:Fallback>
        </mc:AlternateContent>
      </w:r>
      <w:r>
        <w:rPr>
          <w:b/>
        </w:rPr>
        <w:t xml:space="preserve">Place de </w:t>
      </w:r>
      <w:proofErr w:type="spellStart"/>
      <w:r>
        <w:rPr>
          <w:b/>
        </w:rPr>
        <w:t>Corneliane</w:t>
      </w:r>
      <w:proofErr w:type="spellEnd"/>
      <w:r>
        <w:rPr>
          <w:b/>
        </w:rPr>
        <w:t xml:space="preserve"> (93 ml)</w:t>
      </w:r>
    </w:p>
    <w:p>
      <w:pPr>
        <w:pStyle w:val="Retrait20"/>
        <w:ind w:left="964" w:hanging="284"/>
      </w:pPr>
      <w:r>
        <w:rPr>
          <w:b/>
        </w:rPr>
        <w:t xml:space="preserve">A l’est du Chemin de </w:t>
      </w:r>
      <w:proofErr w:type="spellStart"/>
      <w:r>
        <w:rPr>
          <w:b/>
        </w:rPr>
        <w:t>Mandaillan</w:t>
      </w:r>
      <w:proofErr w:type="spellEnd"/>
      <w:r>
        <w:rPr>
          <w:b/>
        </w:rPr>
        <w:t xml:space="preserve"> (358 ml)</w:t>
      </w:r>
    </w:p>
    <w:p>
      <w:pPr>
        <w:pStyle w:val="Retrait20"/>
        <w:ind w:left="964" w:hanging="284"/>
      </w:pPr>
      <w:r>
        <w:rPr>
          <w:b/>
        </w:rPr>
        <w:t>Rue de l’Aqueduc (R1733 – R2537) (40 ml)</w:t>
      </w:r>
    </w:p>
    <w:p>
      <w:pPr>
        <w:pStyle w:val="Retrait20"/>
        <w:ind w:left="964" w:hanging="284"/>
      </w:pPr>
      <w:r>
        <w:rPr>
          <w:b/>
          <w:noProof/>
          <w:color w:val="FF0000"/>
        </w:rPr>
        <mc:AlternateContent>
          <mc:Choice Requires="wps">
            <w:drawing>
              <wp:anchor distT="0" distB="0" distL="114300" distR="114300" simplePos="0" relativeHeight="251638784" behindDoc="0" locked="0" layoutInCell="1" allowOverlap="1">
                <wp:simplePos x="0" y="0"/>
                <wp:positionH relativeFrom="column">
                  <wp:posOffset>3501390</wp:posOffset>
                </wp:positionH>
                <wp:positionV relativeFrom="paragraph">
                  <wp:posOffset>170815</wp:posOffset>
                </wp:positionV>
                <wp:extent cx="946150" cy="826770"/>
                <wp:effectExtent l="11430" t="6985" r="13970" b="13970"/>
                <wp:wrapNone/>
                <wp:docPr id="28" name="Accolade fermante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46150" cy="826770"/>
                        </a:xfrm>
                        <a:prstGeom prst="rightBrace">
                          <a:avLst>
                            <a:gd name="adj1" fmla="val 8333"/>
                            <a:gd name="adj2" fmla="val 50014"/>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ccolade fermante 28" o:spid="_x0000_s1026" type="#_x0000_t88" style="position:absolute;margin-left:275.7pt;margin-top:13.45pt;width:74.5pt;height:65.1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" adj=",10803"/>
            </w:pict>
          </mc:Fallback>
        </mc:AlternateContent>
      </w:r>
      <w:r>
        <w:rPr>
          <w:b/>
        </w:rPr>
        <w:t>Rue du Mistral (110 ml)</w:t>
      </w:r>
    </w:p>
    <w:p>
      <w:pPr>
        <w:pStyle w:val="Retrait20"/>
        <w:ind w:left="964" w:hanging="284"/>
      </w:pPr>
      <w:r>
        <w:rPr>
          <w:b/>
          <w:noProof/>
          <w:color w:val="FF0000"/>
        </w:rPr>
        <mc:AlternateContent>
          <mc:Choice Requires="wps">
            <w:drawing>
              <wp:anchor distT="0" distB="0" distL="114300" distR="114300" simplePos="0" relativeHeight="251640832" behindDoc="0" locked="0" layoutInCell="1" allowOverlap="1">
                <wp:simplePos x="0" y="0"/>
                <wp:positionH relativeFrom="column">
                  <wp:posOffset>4447540</wp:posOffset>
                </wp:positionH>
                <wp:positionV relativeFrom="paragraph">
                  <wp:posOffset>194310</wp:posOffset>
                </wp:positionV>
                <wp:extent cx="1649095" cy="313055"/>
                <wp:effectExtent l="0" t="1270" r="3175" b="0"/>
                <wp:wrapNone/>
                <wp:docPr id="27" name="Zone de texte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49095" cy="313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
                              <w:t>0,7 m</w:t>
                            </w:r>
                            <w:r>
                              <w:rPr>
                                <w:vertAlign w:val="superscript"/>
                              </w:rPr>
                              <w:t>3</w:t>
                            </w:r>
                            <w:r>
                              <w:t>/h pour 372 ml</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Zone de texte 27" o:spid="_x0000_s1034" type="#_x0000_t202" style="position:absolute;left:0;text-align:left;margin-left:350.2pt;margin-top:15.3pt;width:129.85pt;height:24.65pt;z-index:25164083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" filled="f" stroked="f">
                <v:textbox style="mso-fit-shape-to-text:t">
                  <w:txbxContent>
                    <w:p>
                      <w:r>
                        <w:t>0,7 m</w:t>
                      </w:r>
                      <w:r>
                        <w:rPr>
                          <w:vertAlign w:val="superscript"/>
                        </w:rPr>
                        <w:t>3</w:t>
                      </w:r>
                      <w:r>
                        <w:t>/h pour 372 ml</w:t>
                      </w:r>
                    </w:p>
                  </w:txbxContent>
                </v:textbox>
              </v:shape>
            </w:pict>
          </mc:Fallback>
        </mc:AlternateContent>
      </w:r>
      <w:r>
        <w:rPr>
          <w:b/>
          <w:color w:val="FF0000"/>
        </w:rPr>
        <w:t>Avenue Saint Didier (90 ml)</w:t>
      </w:r>
    </w:p>
    <w:p>
      <w:pPr>
        <w:pStyle w:val="Retrait20"/>
        <w:ind w:left="964" w:hanging="284"/>
      </w:pPr>
      <w:r>
        <w:rPr>
          <w:b/>
          <w:color w:val="FF0000"/>
        </w:rPr>
        <w:t>Rue du vieux Moulin (86 ml)</w:t>
      </w:r>
    </w:p>
    <w:p>
      <w:pPr>
        <w:pStyle w:val="Retrait20"/>
        <w:ind w:left="964" w:hanging="284"/>
      </w:pPr>
      <w:r>
        <w:rPr>
          <w:b/>
          <w:color w:val="FF0000"/>
        </w:rPr>
        <w:t>Rue du vieux Moulin – Route Nationale (100 ml)</w:t>
      </w:r>
    </w:p>
    <w:p>
      <w:pPr>
        <w:pStyle w:val="Retrait20"/>
        <w:ind w:left="964" w:hanging="284"/>
      </w:pPr>
      <w:r>
        <w:rPr>
          <w:b/>
          <w:color w:val="FF0000"/>
        </w:rPr>
        <w:t>Rue de la Source (96 ml)</w:t>
      </w:r>
    </w:p>
    <w:p>
      <w:pPr>
        <w:pStyle w:val="Retrait20"/>
        <w:ind w:left="964" w:hanging="284"/>
      </w:pPr>
      <w:r>
        <w:rPr>
          <w:b/>
          <w:noProof/>
          <w:color w:val="FFC000"/>
        </w:rPr>
        <mc:AlternateContent>
          <mc:Choice Requires="wps">
            <w:drawing>
              <wp:anchor distT="0" distB="0" distL="114300" distR="114300" simplePos="0" relativeHeight="251642880" behindDoc="0" locked="0" layoutInCell="1" allowOverlap="1">
                <wp:simplePos x="0" y="0"/>
                <wp:positionH relativeFrom="column">
                  <wp:posOffset>3604895</wp:posOffset>
                </wp:positionH>
                <wp:positionV relativeFrom="paragraph">
                  <wp:posOffset>-68027</wp:posOffset>
                </wp:positionV>
                <wp:extent cx="946150" cy="3306445"/>
                <wp:effectExtent l="0" t="0" r="25400" b="27305"/>
                <wp:wrapNone/>
                <wp:docPr id="9" name="Accolade fermante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46150" cy="3306445"/>
                        </a:xfrm>
                        <a:prstGeom prst="rightBrace">
                          <a:avLst>
                            <a:gd name="adj1" fmla="val 29122"/>
                            <a:gd name="adj2" fmla="val 51216"/>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ccolade fermante 9" o:spid="_x0000_s1026" type="#_x0000_t88" style="position:absolute;margin-left:283.85pt;margin-top:-5.35pt;width:74.5pt;height:260.35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" adj=",11063"/>
            </w:pict>
          </mc:Fallback>
        </mc:AlternateContent>
      </w:r>
      <w:r>
        <w:rPr>
          <w:b/>
          <w:color w:val="FFC000"/>
        </w:rPr>
        <w:t xml:space="preserve">Chemin de la </w:t>
      </w:r>
      <w:proofErr w:type="spellStart"/>
      <w:r>
        <w:rPr>
          <w:b/>
          <w:color w:val="FFC000"/>
        </w:rPr>
        <w:t>Triquette</w:t>
      </w:r>
      <w:proofErr w:type="spellEnd"/>
      <w:r>
        <w:rPr>
          <w:b/>
          <w:color w:val="FFC000"/>
        </w:rPr>
        <w:t xml:space="preserve"> – Chemin Bas de </w:t>
      </w:r>
      <w:proofErr w:type="spellStart"/>
      <w:r>
        <w:rPr>
          <w:b/>
          <w:color w:val="FFC000"/>
        </w:rPr>
        <w:t>Meynes</w:t>
      </w:r>
      <w:proofErr w:type="spellEnd"/>
      <w:r>
        <w:rPr>
          <w:b/>
          <w:color w:val="FFC000"/>
        </w:rPr>
        <w:t xml:space="preserve"> (440ml)</w:t>
      </w:r>
    </w:p>
    <w:p>
      <w:pPr>
        <w:pStyle w:val="Retrait20"/>
        <w:ind w:left="964" w:hanging="284"/>
      </w:pPr>
      <w:r>
        <w:rPr>
          <w:b/>
          <w:color w:val="FFC000"/>
        </w:rPr>
        <w:t>Avenue du Hameau de Rodier (685ml)</w:t>
      </w:r>
    </w:p>
    <w:p>
      <w:pPr>
        <w:pStyle w:val="Retrait20"/>
        <w:ind w:left="964" w:hanging="284"/>
      </w:pPr>
      <w:r>
        <w:rPr>
          <w:b/>
          <w:color w:val="FFC000"/>
        </w:rPr>
        <w:t>Rue des Cigales (263ml)</w:t>
      </w:r>
    </w:p>
    <w:p>
      <w:pPr>
        <w:pStyle w:val="Retrait20"/>
        <w:ind w:left="964" w:hanging="284"/>
      </w:pPr>
      <w:r>
        <w:rPr>
          <w:b/>
          <w:color w:val="FFC000"/>
        </w:rPr>
        <w:t>R5676 – R 783 – R1829 – R2872 – R5674 – R2833 – R5595 (220ml)</w:t>
      </w:r>
    </w:p>
    <w:p>
      <w:pPr>
        <w:pStyle w:val="Retrait20"/>
        <w:ind w:left="964" w:hanging="284"/>
      </w:pPr>
      <w:r>
        <w:rPr>
          <w:b/>
          <w:color w:val="FFC000"/>
        </w:rPr>
        <w:t xml:space="preserve">Rue </w:t>
      </w:r>
      <w:proofErr w:type="spellStart"/>
      <w:r>
        <w:rPr>
          <w:b/>
          <w:color w:val="FFC000"/>
        </w:rPr>
        <w:t>Pechicard</w:t>
      </w:r>
      <w:proofErr w:type="spellEnd"/>
      <w:r>
        <w:rPr>
          <w:b/>
          <w:color w:val="FFC000"/>
        </w:rPr>
        <w:t xml:space="preserve"> (125ml)</w:t>
      </w:r>
    </w:p>
    <w:p>
      <w:pPr>
        <w:pStyle w:val="Retrait20"/>
        <w:ind w:left="964" w:hanging="284"/>
      </w:pPr>
      <w:r>
        <w:rPr>
          <w:b/>
          <w:color w:val="FFC000"/>
        </w:rPr>
        <w:t>Rue du Moulin (414ml)</w:t>
      </w:r>
    </w:p>
    <w:p>
      <w:pPr>
        <w:pStyle w:val="Retrait20"/>
        <w:ind w:left="964" w:hanging="284"/>
      </w:pPr>
      <w:r>
        <w:rPr>
          <w:b/>
          <w:color w:val="FFC000"/>
        </w:rPr>
        <w:t xml:space="preserve">Rue de </w:t>
      </w:r>
      <w:proofErr w:type="spellStart"/>
      <w:r>
        <w:rPr>
          <w:b/>
          <w:color w:val="FFC000"/>
        </w:rPr>
        <w:t>Ledenon</w:t>
      </w:r>
      <w:proofErr w:type="spellEnd"/>
      <w:r>
        <w:rPr>
          <w:b/>
          <w:color w:val="FFC000"/>
        </w:rPr>
        <w:t xml:space="preserve"> – Rue du moulin (490ml)</w:t>
      </w:r>
    </w:p>
    <w:p>
      <w:pPr>
        <w:pStyle w:val="Retrait20"/>
        <w:ind w:left="964" w:hanging="284"/>
      </w:pPr>
      <w:r>
        <w:rPr>
          <w:b/>
          <w:noProof/>
          <w:color w:val="FFC000"/>
        </w:rPr>
        <mc:AlternateContent>
          <mc:Choice Requires="wps">
            <w:drawing>
              <wp:anchor distT="0" distB="0" distL="114300" distR="114300" simplePos="0" relativeHeight="251646976" behindDoc="0" locked="0" layoutInCell="1" allowOverlap="1">
                <wp:simplePos x="0" y="0"/>
                <wp:positionH relativeFrom="column">
                  <wp:posOffset>4550852</wp:posOffset>
                </wp:positionH>
                <wp:positionV relativeFrom="paragraph">
                  <wp:posOffset>21590</wp:posOffset>
                </wp:positionV>
                <wp:extent cx="1649095" cy="313055"/>
                <wp:effectExtent l="0" t="0" r="0" b="0"/>
                <wp:wrapNone/>
                <wp:docPr id="8" name="Zone de texte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49095" cy="313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
                              <w:t>4 m</w:t>
                            </w:r>
                            <w:r>
                              <w:rPr>
                                <w:vertAlign w:val="superscript"/>
                              </w:rPr>
                              <w:t>3</w:t>
                            </w:r>
                            <w:r>
                              <w:t>/h pour 5 092 ml</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Zone de texte 8" o:spid="_x0000_s1035" type="#_x0000_t202" style="position:absolute;left:0;text-align:left;margin-left:358.35pt;margin-top:1.7pt;width:129.85pt;height:24.65pt;z-index:25164697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" filled="f" stroked="f">
                <v:textbox style="mso-fit-shape-to-text:t">
                  <w:txbxContent>
                    <w:p>
                      <w:r>
                        <w:t>4 m</w:t>
                      </w:r>
                      <w:r>
                        <w:rPr>
                          <w:vertAlign w:val="superscript"/>
                        </w:rPr>
                        <w:t>3</w:t>
                      </w:r>
                      <w:r>
                        <w:t>/h pour 5 092 ml</w:t>
                      </w:r>
                    </w:p>
                  </w:txbxContent>
                </v:textbox>
              </v:shape>
            </w:pict>
          </mc:Fallback>
        </mc:AlternateContent>
      </w:r>
      <w:r>
        <w:rPr>
          <w:b/>
          <w:color w:val="FFC000"/>
        </w:rPr>
        <w:t>Rue du Ventoux (317ml)</w:t>
      </w:r>
    </w:p>
    <w:p>
      <w:pPr>
        <w:pStyle w:val="Retrait20"/>
        <w:ind w:left="964" w:hanging="284"/>
      </w:pPr>
      <w:r>
        <w:rPr>
          <w:b/>
          <w:color w:val="FFC000"/>
        </w:rPr>
        <w:t>Avenue Frédéric Mistral (135ml)</w:t>
      </w:r>
    </w:p>
    <w:p>
      <w:pPr>
        <w:pStyle w:val="Retrait20"/>
        <w:ind w:left="964" w:hanging="284"/>
      </w:pPr>
      <w:r>
        <w:rPr>
          <w:b/>
          <w:color w:val="FFC000"/>
        </w:rPr>
        <w:t>Rue des Rocailles (125ml)</w:t>
      </w:r>
    </w:p>
    <w:p>
      <w:pPr>
        <w:pStyle w:val="Retrait20"/>
        <w:ind w:left="964" w:hanging="284"/>
      </w:pPr>
      <w:r>
        <w:rPr>
          <w:b/>
          <w:color w:val="FFC000"/>
        </w:rPr>
        <w:t xml:space="preserve">Chemin de </w:t>
      </w:r>
      <w:proofErr w:type="spellStart"/>
      <w:r>
        <w:rPr>
          <w:b/>
          <w:color w:val="FFC000"/>
        </w:rPr>
        <w:t>Mandaillan</w:t>
      </w:r>
      <w:proofErr w:type="spellEnd"/>
      <w:r>
        <w:rPr>
          <w:b/>
          <w:color w:val="FFC000"/>
        </w:rPr>
        <w:t xml:space="preserve"> (365ml)</w:t>
      </w:r>
    </w:p>
    <w:p>
      <w:pPr>
        <w:pStyle w:val="Retrait20"/>
        <w:ind w:left="964" w:hanging="284"/>
      </w:pPr>
      <w:r>
        <w:rPr>
          <w:b/>
          <w:color w:val="FFC000"/>
        </w:rPr>
        <w:t>Rue Croix du Sang – Rue Saint André – Rue de la Calade (184ml)</w:t>
      </w:r>
    </w:p>
    <w:p>
      <w:pPr>
        <w:pStyle w:val="Retrait20"/>
        <w:ind w:left="964" w:hanging="284"/>
      </w:pPr>
      <w:r>
        <w:rPr>
          <w:b/>
          <w:color w:val="FFC000"/>
        </w:rPr>
        <w:t xml:space="preserve">Chemin de </w:t>
      </w:r>
      <w:proofErr w:type="spellStart"/>
      <w:r>
        <w:rPr>
          <w:b/>
          <w:color w:val="FFC000"/>
        </w:rPr>
        <w:t>Sernhac</w:t>
      </w:r>
      <w:proofErr w:type="spellEnd"/>
      <w:r>
        <w:rPr>
          <w:b/>
          <w:color w:val="FFC000"/>
        </w:rPr>
        <w:t xml:space="preserve"> (170ml)</w:t>
      </w:r>
    </w:p>
    <w:p>
      <w:pPr>
        <w:pStyle w:val="Retrait20"/>
        <w:ind w:left="964" w:hanging="284"/>
      </w:pPr>
      <w:r>
        <w:rPr>
          <w:b/>
          <w:color w:val="FFC000"/>
        </w:rPr>
        <w:t>Rue de la Noria (192ml)</w:t>
      </w:r>
    </w:p>
    <w:p>
      <w:pPr>
        <w:pStyle w:val="Retrait20"/>
        <w:ind w:left="964" w:hanging="284"/>
      </w:pPr>
      <w:r>
        <w:rPr>
          <w:b/>
          <w:color w:val="FFC000"/>
        </w:rPr>
        <w:t xml:space="preserve">Chemin de </w:t>
      </w:r>
      <w:proofErr w:type="spellStart"/>
      <w:r>
        <w:rPr>
          <w:b/>
          <w:color w:val="FFC000"/>
        </w:rPr>
        <w:t>Cabrières</w:t>
      </w:r>
      <w:proofErr w:type="spellEnd"/>
      <w:r>
        <w:rPr>
          <w:b/>
          <w:color w:val="FFC000"/>
        </w:rPr>
        <w:t xml:space="preserve"> (295ml)</w:t>
      </w:r>
    </w:p>
    <w:p>
      <w:pPr>
        <w:pStyle w:val="Retrait20"/>
        <w:ind w:left="964" w:hanging="284"/>
      </w:pPr>
      <w:r>
        <w:rPr>
          <w:b/>
          <w:color w:val="FFC000"/>
        </w:rPr>
        <w:t xml:space="preserve">Route de </w:t>
      </w:r>
      <w:proofErr w:type="spellStart"/>
      <w:r>
        <w:rPr>
          <w:b/>
          <w:color w:val="FFC000"/>
        </w:rPr>
        <w:t>Redessan</w:t>
      </w:r>
      <w:proofErr w:type="spellEnd"/>
      <w:r>
        <w:rPr>
          <w:b/>
          <w:color w:val="FFC000"/>
        </w:rPr>
        <w:t xml:space="preserve"> (682)</w:t>
      </w:r>
    </w:p>
    <w:p>
      <w:r>
        <w:t>Les nuits d’inspection nocturne sur ces 27 tronçons (6 230ml) représentent un débit d’eaux parasites d’infiltration d’environ 8,4m</w:t>
      </w:r>
      <w:r>
        <w:rPr>
          <w:vertAlign w:val="superscript"/>
        </w:rPr>
        <w:t>3</w:t>
      </w:r>
      <w:r>
        <w:t>/h soit 200m</w:t>
      </w:r>
      <w:r>
        <w:rPr>
          <w:vertAlign w:val="superscript"/>
        </w:rPr>
        <w:t>3</w:t>
      </w:r>
      <w:r>
        <w:t xml:space="preserve">/j. Sur le reste du réseau les entrées d’eaux parasites d’infiltration sont très diffuses et absentes sur de nombreux secteurs. </w:t>
      </w:r>
    </w:p>
    <w:p>
      <w:pPr>
        <w:rPr>
          <w:i/>
        </w:rPr>
      </w:pPr>
      <w:r>
        <w:rPr>
          <w:i/>
        </w:rPr>
        <w:t xml:space="preserve">Rappel : au niveau de la commune de </w:t>
      </w:r>
      <w:proofErr w:type="spellStart"/>
      <w:r>
        <w:rPr>
          <w:i/>
        </w:rPr>
        <w:t>Cabrières</w:t>
      </w:r>
      <w:proofErr w:type="spellEnd"/>
      <w:r>
        <w:rPr>
          <w:i/>
        </w:rPr>
        <w:t>, le débit enregistré en aval du réseau était de 5m</w:t>
      </w:r>
      <w:r>
        <w:rPr>
          <w:i/>
          <w:vertAlign w:val="superscript"/>
        </w:rPr>
        <w:t>3</w:t>
      </w:r>
      <w:r>
        <w:rPr>
          <w:i/>
        </w:rPr>
        <w:t>/h. Aucune recherche ECPP n’a été réalisée sur cette commune.</w:t>
      </w:r>
    </w:p>
    <w:p>
      <w:pPr>
        <w:rPr>
          <w:i/>
        </w:rPr>
      </w:pPr>
    </w:p>
    <w:p>
      <w:pPr>
        <w:rPr>
          <w:i/>
        </w:rPr>
      </w:pPr>
    </w:p>
    <w:p>
      <w:pPr>
        <w:rPr>
          <w:i/>
        </w:rPr>
      </w:pPr>
    </w:p>
    <w:p>
      <w:pPr>
        <w:pStyle w:val="Titre3"/>
      </w:pPr>
      <w:bookmarkStart w:id="21" w:name="_Toc46480261"/>
      <w:bookmarkStart w:id="22" w:name="_Toc92700756"/>
      <w:r>
        <w:lastRenderedPageBreak/>
        <w:t>Eaux claires parasites météoriques (ECPM)</w:t>
      </w:r>
      <w:bookmarkEnd w:id="21"/>
      <w:bookmarkEnd w:id="22"/>
    </w:p>
    <w:p>
      <w:pPr>
        <w:rPr>
          <w:b/>
          <w:u w:val="single"/>
        </w:rPr>
      </w:pPr>
      <w:r>
        <w:rPr>
          <w:b/>
          <w:u w:val="single"/>
        </w:rPr>
        <w:t>Secteurs sensibles</w:t>
      </w:r>
    </w:p>
    <w:p>
      <w:r>
        <w:t>Les points de mesures mis en place sur le réseau durant la campagne de mesures permettent de préciser les secteurs sensibles aux entrées d’eaux parasites météoriques. Sur la moyenne des pluies, les résultats obtenus mettent en évidence une surface active d’environ 26 000m² sur l’ensemble des trois communes. Les surfaces actives raccordées au réseau d’eaux usées proviennent principalement des bassins de collecte suivants:</w:t>
      </w:r>
    </w:p>
    <w:p>
      <w:pPr>
        <w:pStyle w:val="Retrait20"/>
        <w:tabs>
          <w:tab w:val="clear" w:pos="928"/>
          <w:tab w:val="num" w:pos="1324"/>
        </w:tabs>
        <w:ind w:left="1304"/>
      </w:pPr>
      <w:r>
        <w:t xml:space="preserve">Secteur </w:t>
      </w:r>
      <w:r>
        <w:rPr>
          <w:rFonts w:cs="Calibri"/>
          <w:color w:val="000000"/>
        </w:rPr>
        <w:t>4 (</w:t>
      </w:r>
      <w:proofErr w:type="spellStart"/>
      <w:r>
        <w:rPr>
          <w:rFonts w:cs="Calibri"/>
          <w:color w:val="000000"/>
        </w:rPr>
        <w:t>Cabrières</w:t>
      </w:r>
      <w:proofErr w:type="spellEnd"/>
      <w:r>
        <w:rPr>
          <w:rFonts w:cs="Calibri"/>
          <w:color w:val="000000"/>
        </w:rPr>
        <w:t>)</w:t>
      </w:r>
      <w:r>
        <w:t> : 28%</w:t>
      </w:r>
    </w:p>
    <w:p>
      <w:pPr>
        <w:pStyle w:val="Retrait20"/>
        <w:tabs>
          <w:tab w:val="clear" w:pos="928"/>
          <w:tab w:val="num" w:pos="1324"/>
        </w:tabs>
        <w:ind w:left="1304"/>
      </w:pPr>
      <w:r>
        <w:t xml:space="preserve">Secteur </w:t>
      </w:r>
      <w:r>
        <w:rPr>
          <w:rFonts w:cs="Calibri"/>
          <w:color w:val="000000"/>
        </w:rPr>
        <w:t>3 (Est Saint-</w:t>
      </w:r>
      <w:proofErr w:type="spellStart"/>
      <w:r>
        <w:rPr>
          <w:rFonts w:cs="Calibri"/>
          <w:color w:val="000000"/>
        </w:rPr>
        <w:t>Gervasy</w:t>
      </w:r>
      <w:proofErr w:type="spellEnd"/>
      <w:r>
        <w:rPr>
          <w:rFonts w:cs="Calibri"/>
          <w:color w:val="000000"/>
        </w:rPr>
        <w:t>)</w:t>
      </w:r>
      <w:r>
        <w:t> : 27%</w:t>
      </w:r>
    </w:p>
    <w:p>
      <w:pPr>
        <w:pStyle w:val="Retrait20"/>
        <w:tabs>
          <w:tab w:val="clear" w:pos="928"/>
          <w:tab w:val="num" w:pos="1324"/>
        </w:tabs>
        <w:ind w:left="1304"/>
      </w:pPr>
      <w:r>
        <w:t xml:space="preserve">Secteur </w:t>
      </w:r>
      <w:r>
        <w:rPr>
          <w:rFonts w:cs="Calibri"/>
          <w:color w:val="000000"/>
        </w:rPr>
        <w:t>2 (Ouest Saint-</w:t>
      </w:r>
      <w:proofErr w:type="spellStart"/>
      <w:r>
        <w:rPr>
          <w:rFonts w:cs="Calibri"/>
          <w:color w:val="000000"/>
        </w:rPr>
        <w:t>Gervasy</w:t>
      </w:r>
      <w:proofErr w:type="spellEnd"/>
      <w:r>
        <w:rPr>
          <w:rFonts w:cs="Calibri"/>
          <w:color w:val="000000"/>
        </w:rPr>
        <w:t>)</w:t>
      </w:r>
      <w:r>
        <w:t> : 21%</w:t>
      </w:r>
    </w:p>
    <w:p>
      <w:pPr>
        <w:pStyle w:val="Retrait20"/>
        <w:tabs>
          <w:tab w:val="clear" w:pos="928"/>
          <w:tab w:val="num" w:pos="1324"/>
        </w:tabs>
        <w:ind w:left="1304"/>
      </w:pPr>
      <w:r>
        <w:t xml:space="preserve">Secteur </w:t>
      </w:r>
      <w:r>
        <w:rPr>
          <w:rFonts w:cs="Calibri"/>
          <w:color w:val="000000"/>
        </w:rPr>
        <w:t xml:space="preserve">5 (Nord </w:t>
      </w:r>
      <w:proofErr w:type="spellStart"/>
      <w:r>
        <w:rPr>
          <w:rFonts w:cs="Calibri"/>
          <w:color w:val="000000"/>
        </w:rPr>
        <w:t>Bezouce</w:t>
      </w:r>
      <w:proofErr w:type="spellEnd"/>
      <w:r>
        <w:rPr>
          <w:rFonts w:cs="Calibri"/>
          <w:color w:val="000000"/>
        </w:rPr>
        <w:t xml:space="preserve">) </w:t>
      </w:r>
      <w:r>
        <w:t>: 13%</w:t>
      </w:r>
    </w:p>
    <w:p>
      <w:pPr>
        <w:pStyle w:val="Retrait20"/>
        <w:tabs>
          <w:tab w:val="clear" w:pos="928"/>
          <w:tab w:val="num" w:pos="1324"/>
        </w:tabs>
        <w:ind w:left="1304"/>
      </w:pPr>
      <w:r>
        <w:t xml:space="preserve">Secteur </w:t>
      </w:r>
      <w:r>
        <w:rPr>
          <w:rFonts w:cs="Calibri"/>
          <w:color w:val="000000"/>
        </w:rPr>
        <w:t xml:space="preserve">6 (Sud </w:t>
      </w:r>
      <w:proofErr w:type="spellStart"/>
      <w:r>
        <w:rPr>
          <w:rFonts w:cs="Calibri"/>
          <w:color w:val="000000"/>
        </w:rPr>
        <w:t>Bezouce</w:t>
      </w:r>
      <w:proofErr w:type="spellEnd"/>
      <w:r>
        <w:rPr>
          <w:rFonts w:cs="Calibri"/>
          <w:color w:val="000000"/>
        </w:rPr>
        <w:t>)</w:t>
      </w:r>
      <w:r>
        <w:t> : 11%</w:t>
      </w:r>
    </w:p>
    <w:p>
      <w:pPr>
        <w:spacing w:before="0"/>
        <w:jc w:val="left"/>
        <w:rPr>
          <w:rStyle w:val="lev"/>
          <w:b w:val="0"/>
        </w:rPr>
      </w:pPr>
    </w:p>
    <w:p>
      <w:pPr>
        <w:spacing w:before="0"/>
        <w:jc w:val="left"/>
        <w:rPr>
          <w:rStyle w:val="lev"/>
          <w:u w:val="single"/>
        </w:rPr>
      </w:pPr>
      <w:r>
        <w:rPr>
          <w:rStyle w:val="lev"/>
          <w:u w:val="single"/>
        </w:rPr>
        <w:t>Visites sous averses</w:t>
      </w:r>
    </w:p>
    <w:p>
      <w:r>
        <w:t xml:space="preserve">Des visites sous averse du réseau ont été réalisées le 28 avril 2020 sur tous les secteurs des communes de </w:t>
      </w:r>
      <w:proofErr w:type="spellStart"/>
      <w:r>
        <w:t>Bezouce</w:t>
      </w:r>
      <w:proofErr w:type="spellEnd"/>
      <w:r>
        <w:t xml:space="preserve"> et Saint-</w:t>
      </w:r>
      <w:proofErr w:type="spellStart"/>
      <w:r>
        <w:t>Gervasy</w:t>
      </w:r>
      <w:proofErr w:type="spellEnd"/>
      <w:r>
        <w:t>. La pluviométrie enregistrée ce jour-là était de 38mm. Des mesures ponctuelles du débit ont été réalisées afin de sectoriser les tronçons de réseau responsables d’entrées d’eaux claires parasites et d’identifier ainsi les secteurs sensibles aux entrées d’eaux météoriques.</w:t>
      </w:r>
    </w:p>
    <w:p>
      <w:r>
        <w:t>Les investigations sous averse ont permis de repérer 36 tronçons potentiellement très sensibles aux entrées d’eaux parasites de captage (7 826ml). Sur le reste du réseau les entrées d’eaux parasites de captage sont très diffuses et absentes sur de nombreux secteurs. Les tronçons sensibles aux entrées d’eaux claires météoriques sont situés principalement au niveau des lotissements situés au nord et à l’ouest du village de Saint-</w:t>
      </w:r>
      <w:proofErr w:type="spellStart"/>
      <w:r>
        <w:t>Gervasy</w:t>
      </w:r>
      <w:proofErr w:type="spellEnd"/>
      <w:r>
        <w:t>, dans le centre du village de Saint-</w:t>
      </w:r>
      <w:proofErr w:type="spellStart"/>
      <w:r>
        <w:t>Gervasy</w:t>
      </w:r>
      <w:proofErr w:type="spellEnd"/>
      <w:r>
        <w:t xml:space="preserve">, et sur la périphérie du Village de </w:t>
      </w:r>
      <w:proofErr w:type="spellStart"/>
      <w:r>
        <w:t>Bezouce</w:t>
      </w:r>
      <w:proofErr w:type="spellEnd"/>
      <w:r>
        <w:t>. La comparaison des investigations nocturnes et des investigations sous averse montre pour certains secteurs une corrélation. Pour ces secteurs, l’augmentation des débits par temps de pluie peut provenir d’infiltration directe dans les canalisations à travers des problèmes d’étanchéité.</w:t>
      </w:r>
    </w:p>
    <w:p>
      <w:pPr>
        <w:spacing w:before="0"/>
        <w:jc w:val="left"/>
        <w:rPr>
          <w:rStyle w:val="lev"/>
          <w:u w:val="single"/>
        </w:rPr>
      </w:pPr>
    </w:p>
    <w:p>
      <w:pPr>
        <w:spacing w:before="0"/>
        <w:jc w:val="left"/>
        <w:rPr>
          <w:rStyle w:val="lev"/>
          <w:u w:val="single"/>
        </w:rPr>
      </w:pPr>
      <w:r>
        <w:rPr>
          <w:rStyle w:val="lev"/>
          <w:u w:val="single"/>
        </w:rPr>
        <w:t>Test à la fumée</w:t>
      </w:r>
    </w:p>
    <w:p>
      <w:r>
        <w:rPr>
          <w:rStyle w:val="lev"/>
          <w:b w:val="0"/>
        </w:rPr>
        <w:t xml:space="preserve">La totalité du linéaire des communes de </w:t>
      </w:r>
      <w:proofErr w:type="spellStart"/>
      <w:r>
        <w:rPr>
          <w:rStyle w:val="lev"/>
          <w:b w:val="0"/>
        </w:rPr>
        <w:t>Bezouce</w:t>
      </w:r>
      <w:proofErr w:type="spellEnd"/>
      <w:r>
        <w:rPr>
          <w:rStyle w:val="lev"/>
          <w:b w:val="0"/>
        </w:rPr>
        <w:t xml:space="preserve"> et Saint-</w:t>
      </w:r>
      <w:proofErr w:type="spellStart"/>
      <w:r>
        <w:rPr>
          <w:rStyle w:val="lev"/>
          <w:b w:val="0"/>
        </w:rPr>
        <w:t>Gervasy</w:t>
      </w:r>
      <w:proofErr w:type="spellEnd"/>
      <w:r>
        <w:rPr>
          <w:rStyle w:val="lev"/>
          <w:b w:val="0"/>
        </w:rPr>
        <w:t xml:space="preserve"> a été inspecté via les tests à la fumée. </w:t>
      </w:r>
      <w:r>
        <w:t>Le tableau suivant résume, les anomalies en fonction de leur origine, de leur type et de leur surface drainée. Pour certaines anomalies, les surfaces actives n’ont pas été déterminées au vu des difficultés d’évaluation.</w:t>
      </w:r>
    </w:p>
    <w:tbl>
      <w:tblPr>
        <w:tblW w:w="483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271"/>
        <w:gridCol w:w="1906"/>
        <w:gridCol w:w="1040"/>
        <w:gridCol w:w="947"/>
        <w:gridCol w:w="947"/>
        <w:gridCol w:w="809"/>
        <w:gridCol w:w="1110"/>
        <w:gridCol w:w="1422"/>
      </w:tblGrid>
      <w:tr>
        <w:trPr>
          <w:trHeight w:val="300"/>
          <w:jc w:val="center"/>
        </w:trPr>
        <w:tc>
          <w:tcPr>
            <w:tcW w:w="672" w:type="pct"/>
            <w:vMerge w:val="restart"/>
            <w:shd w:val="clear" w:color="auto" w:fill="8DB3E2" w:themeFill="text2" w:themeFillTint="66"/>
            <w:vAlign w:val="center"/>
            <w:hideMark/>
          </w:tcPr>
          <w:p>
            <w:pPr>
              <w:spacing w:before="0"/>
              <w:jc w:val="center"/>
              <w:rPr>
                <w:rFonts w:cs="Calibri"/>
                <w:b/>
                <w:color w:val="FFFFFF" w:themeColor="background1"/>
              </w:rPr>
            </w:pPr>
            <w:r>
              <w:rPr>
                <w:rFonts w:cs="Calibri"/>
                <w:b/>
                <w:color w:val="FFFFFF" w:themeColor="background1"/>
              </w:rPr>
              <w:t>Commune</w:t>
            </w:r>
          </w:p>
        </w:tc>
        <w:tc>
          <w:tcPr>
            <w:tcW w:w="1008" w:type="pct"/>
            <w:vMerge w:val="restart"/>
            <w:shd w:val="clear" w:color="auto" w:fill="8DB3E2" w:themeFill="text2" w:themeFillTint="66"/>
            <w:vAlign w:val="center"/>
            <w:hideMark/>
          </w:tcPr>
          <w:p>
            <w:pPr>
              <w:spacing w:before="0"/>
              <w:jc w:val="center"/>
              <w:rPr>
                <w:rFonts w:cs="Calibri"/>
                <w:b/>
                <w:color w:val="FFFFFF" w:themeColor="background1"/>
              </w:rPr>
            </w:pPr>
            <w:r>
              <w:rPr>
                <w:rFonts w:cs="Calibri"/>
                <w:b/>
                <w:color w:val="FFFFFF" w:themeColor="background1"/>
              </w:rPr>
              <w:t>Anomalie</w:t>
            </w:r>
          </w:p>
        </w:tc>
        <w:tc>
          <w:tcPr>
            <w:tcW w:w="1552" w:type="pct"/>
            <w:gridSpan w:val="3"/>
            <w:tcBorders>
              <w:bottom w:val="single" w:sz="4" w:space="0" w:color="auto"/>
            </w:tcBorders>
            <w:shd w:val="clear" w:color="auto" w:fill="8DB3E2" w:themeFill="text2" w:themeFillTint="66"/>
            <w:vAlign w:val="center"/>
            <w:hideMark/>
          </w:tcPr>
          <w:p>
            <w:pPr>
              <w:spacing w:before="0"/>
              <w:jc w:val="center"/>
              <w:rPr>
                <w:rFonts w:cs="Calibri"/>
                <w:b/>
                <w:color w:val="FFFFFF" w:themeColor="background1"/>
              </w:rPr>
            </w:pPr>
            <w:r>
              <w:rPr>
                <w:rFonts w:cs="Calibri"/>
                <w:b/>
                <w:color w:val="FFFFFF" w:themeColor="background1"/>
              </w:rPr>
              <w:t>Nombre d'anomalies</w:t>
            </w:r>
          </w:p>
        </w:tc>
        <w:tc>
          <w:tcPr>
            <w:tcW w:w="428" w:type="pct"/>
            <w:vMerge w:val="restart"/>
            <w:shd w:val="clear" w:color="auto" w:fill="8DB3E2" w:themeFill="text2" w:themeFillTint="66"/>
            <w:vAlign w:val="center"/>
            <w:hideMark/>
          </w:tcPr>
          <w:p>
            <w:pPr>
              <w:spacing w:before="0"/>
              <w:jc w:val="center"/>
              <w:rPr>
                <w:rFonts w:cs="Calibri"/>
                <w:b/>
                <w:color w:val="FFFFFF" w:themeColor="background1"/>
              </w:rPr>
            </w:pPr>
            <w:r>
              <w:rPr>
                <w:rFonts w:cs="Calibri"/>
                <w:b/>
                <w:color w:val="FFFFFF" w:themeColor="background1"/>
                <w:szCs w:val="22"/>
              </w:rPr>
              <w:t>Surface active (m</w:t>
            </w:r>
            <w:r>
              <w:rPr>
                <w:rFonts w:cs="Calibri"/>
                <w:b/>
                <w:color w:val="FFFFFF" w:themeColor="background1"/>
                <w:vertAlign w:val="superscript"/>
              </w:rPr>
              <w:t>2</w:t>
            </w:r>
            <w:r>
              <w:rPr>
                <w:rFonts w:cs="Calibri"/>
                <w:b/>
                <w:color w:val="FFFFFF" w:themeColor="background1"/>
              </w:rPr>
              <w:t>)</w:t>
            </w:r>
          </w:p>
        </w:tc>
        <w:tc>
          <w:tcPr>
            <w:tcW w:w="587" w:type="pct"/>
            <w:vMerge w:val="restart"/>
            <w:shd w:val="clear" w:color="auto" w:fill="8DB3E2" w:themeFill="text2" w:themeFillTint="66"/>
            <w:vAlign w:val="center"/>
            <w:hideMark/>
          </w:tcPr>
          <w:p>
            <w:pPr>
              <w:spacing w:before="0"/>
              <w:jc w:val="center"/>
              <w:rPr>
                <w:rFonts w:cs="Calibri"/>
                <w:b/>
                <w:color w:val="FFFFFF" w:themeColor="background1"/>
              </w:rPr>
            </w:pPr>
            <w:r>
              <w:rPr>
                <w:rFonts w:cs="Calibri"/>
                <w:b/>
                <w:color w:val="FFFFFF" w:themeColor="background1"/>
                <w:szCs w:val="22"/>
              </w:rPr>
              <w:t>Surface active identifiée par secteur (m</w:t>
            </w:r>
            <w:r>
              <w:rPr>
                <w:rFonts w:cs="Calibri"/>
                <w:b/>
                <w:color w:val="FFFFFF" w:themeColor="background1"/>
                <w:vertAlign w:val="superscript"/>
              </w:rPr>
              <w:t>2</w:t>
            </w:r>
            <w:r>
              <w:rPr>
                <w:rFonts w:cs="Calibri"/>
                <w:b/>
                <w:color w:val="FFFFFF" w:themeColor="background1"/>
              </w:rPr>
              <w:t>)</w:t>
            </w:r>
          </w:p>
        </w:tc>
        <w:tc>
          <w:tcPr>
            <w:tcW w:w="752" w:type="pct"/>
            <w:vMerge w:val="restart"/>
            <w:shd w:val="clear" w:color="auto" w:fill="8DB3E2" w:themeFill="text2" w:themeFillTint="66"/>
            <w:vAlign w:val="center"/>
            <w:hideMark/>
          </w:tcPr>
          <w:p>
            <w:pPr>
              <w:spacing w:before="0"/>
              <w:jc w:val="center"/>
              <w:rPr>
                <w:rFonts w:cs="Calibri"/>
                <w:b/>
                <w:color w:val="FFFFFF" w:themeColor="background1"/>
              </w:rPr>
            </w:pPr>
            <w:r>
              <w:rPr>
                <w:rFonts w:cs="Calibri"/>
                <w:b/>
                <w:color w:val="FFFFFF" w:themeColor="background1"/>
                <w:szCs w:val="22"/>
              </w:rPr>
              <w:t>Surface active calculée lors de la campagne de mesure (m</w:t>
            </w:r>
            <w:r>
              <w:rPr>
                <w:rFonts w:cs="Calibri"/>
                <w:b/>
                <w:color w:val="FFFFFF" w:themeColor="background1"/>
                <w:vertAlign w:val="superscript"/>
              </w:rPr>
              <w:t>2</w:t>
            </w:r>
            <w:r>
              <w:rPr>
                <w:rFonts w:cs="Calibri"/>
                <w:b/>
                <w:color w:val="FFFFFF" w:themeColor="background1"/>
              </w:rPr>
              <w:t>)</w:t>
            </w:r>
          </w:p>
        </w:tc>
      </w:tr>
      <w:tr>
        <w:trPr>
          <w:trHeight w:val="600"/>
          <w:jc w:val="center"/>
        </w:trPr>
        <w:tc>
          <w:tcPr>
            <w:tcW w:w="672" w:type="pct"/>
            <w:vMerge/>
            <w:vAlign w:val="center"/>
            <w:hideMark/>
          </w:tcPr>
          <w:p>
            <w:pPr>
              <w:spacing w:before="0"/>
              <w:jc w:val="left"/>
              <w:rPr>
                <w:rFonts w:cs="Calibri"/>
                <w:color w:val="000000"/>
              </w:rPr>
            </w:pPr>
          </w:p>
        </w:tc>
        <w:tc>
          <w:tcPr>
            <w:tcW w:w="1008" w:type="pct"/>
            <w:vMerge/>
            <w:vAlign w:val="center"/>
            <w:hideMark/>
          </w:tcPr>
          <w:p>
            <w:pPr>
              <w:spacing w:before="0"/>
              <w:jc w:val="left"/>
              <w:rPr>
                <w:rFonts w:cs="Calibri"/>
                <w:color w:val="000000"/>
              </w:rPr>
            </w:pPr>
          </w:p>
        </w:tc>
        <w:tc>
          <w:tcPr>
            <w:tcW w:w="550" w:type="pct"/>
            <w:shd w:val="clear" w:color="auto" w:fill="8DB3E2" w:themeFill="text2" w:themeFillTint="66"/>
            <w:vAlign w:val="center"/>
            <w:hideMark/>
          </w:tcPr>
          <w:p>
            <w:pPr>
              <w:spacing w:before="0"/>
              <w:jc w:val="center"/>
              <w:rPr>
                <w:rFonts w:cs="Calibri"/>
                <w:b/>
                <w:color w:val="FFFFFF" w:themeColor="background1"/>
              </w:rPr>
            </w:pPr>
            <w:r>
              <w:rPr>
                <w:rFonts w:cs="Calibri"/>
                <w:b/>
                <w:color w:val="FFFFFF" w:themeColor="background1"/>
              </w:rPr>
              <w:t>Total</w:t>
            </w:r>
          </w:p>
        </w:tc>
        <w:tc>
          <w:tcPr>
            <w:tcW w:w="501" w:type="pct"/>
            <w:shd w:val="clear" w:color="auto" w:fill="8DB3E2" w:themeFill="text2" w:themeFillTint="66"/>
            <w:vAlign w:val="center"/>
            <w:hideMark/>
          </w:tcPr>
          <w:p>
            <w:pPr>
              <w:spacing w:before="0"/>
              <w:jc w:val="center"/>
              <w:rPr>
                <w:rFonts w:cs="Calibri"/>
                <w:b/>
                <w:color w:val="FFFFFF" w:themeColor="background1"/>
              </w:rPr>
            </w:pPr>
            <w:r>
              <w:rPr>
                <w:rFonts w:cs="Calibri"/>
                <w:b/>
                <w:color w:val="FFFFFF" w:themeColor="background1"/>
              </w:rPr>
              <w:t>Domaine public</w:t>
            </w:r>
          </w:p>
        </w:tc>
        <w:tc>
          <w:tcPr>
            <w:tcW w:w="501" w:type="pct"/>
            <w:shd w:val="clear" w:color="auto" w:fill="8DB3E2" w:themeFill="text2" w:themeFillTint="66"/>
            <w:vAlign w:val="center"/>
            <w:hideMark/>
          </w:tcPr>
          <w:p>
            <w:pPr>
              <w:spacing w:before="0"/>
              <w:jc w:val="center"/>
              <w:rPr>
                <w:rFonts w:cs="Calibri"/>
                <w:b/>
                <w:color w:val="FFFFFF" w:themeColor="background1"/>
              </w:rPr>
            </w:pPr>
            <w:r>
              <w:rPr>
                <w:rFonts w:cs="Calibri"/>
                <w:b/>
                <w:color w:val="FFFFFF" w:themeColor="background1"/>
              </w:rPr>
              <w:t>Domaine privé</w:t>
            </w:r>
          </w:p>
        </w:tc>
        <w:tc>
          <w:tcPr>
            <w:tcW w:w="428" w:type="pct"/>
            <w:vMerge/>
            <w:vAlign w:val="center"/>
            <w:hideMark/>
          </w:tcPr>
          <w:p>
            <w:pPr>
              <w:spacing w:before="0"/>
              <w:jc w:val="left"/>
              <w:rPr>
                <w:rFonts w:cs="Calibri"/>
                <w:color w:val="000000"/>
              </w:rPr>
            </w:pPr>
          </w:p>
        </w:tc>
        <w:tc>
          <w:tcPr>
            <w:tcW w:w="587" w:type="pct"/>
            <w:vMerge/>
            <w:vAlign w:val="center"/>
            <w:hideMark/>
          </w:tcPr>
          <w:p>
            <w:pPr>
              <w:spacing w:before="0"/>
              <w:jc w:val="left"/>
              <w:rPr>
                <w:rFonts w:cs="Calibri"/>
                <w:color w:val="000000"/>
              </w:rPr>
            </w:pPr>
          </w:p>
        </w:tc>
        <w:tc>
          <w:tcPr>
            <w:tcW w:w="752" w:type="pct"/>
            <w:vMerge/>
            <w:vAlign w:val="center"/>
            <w:hideMark/>
          </w:tcPr>
          <w:p>
            <w:pPr>
              <w:spacing w:before="0"/>
              <w:jc w:val="left"/>
              <w:rPr>
                <w:rFonts w:cs="Calibri"/>
                <w:color w:val="000000"/>
              </w:rPr>
            </w:pPr>
          </w:p>
        </w:tc>
      </w:tr>
      <w:tr>
        <w:trPr>
          <w:trHeight w:val="300"/>
          <w:jc w:val="center"/>
        </w:trPr>
        <w:tc>
          <w:tcPr>
            <w:tcW w:w="672" w:type="pct"/>
            <w:vMerge w:val="restart"/>
            <w:shd w:val="clear" w:color="auto" w:fill="auto"/>
            <w:noWrap/>
            <w:vAlign w:val="center"/>
          </w:tcPr>
          <w:p>
            <w:pPr>
              <w:spacing w:before="0"/>
              <w:jc w:val="center"/>
              <w:rPr>
                <w:rFonts w:cs="Calibri"/>
                <w:color w:val="000000"/>
              </w:rPr>
            </w:pPr>
            <w:r>
              <w:rPr>
                <w:rFonts w:cs="Calibri"/>
                <w:color w:val="000000"/>
              </w:rPr>
              <w:t>Saint-</w:t>
            </w:r>
            <w:proofErr w:type="spellStart"/>
            <w:r>
              <w:rPr>
                <w:rFonts w:cs="Calibri"/>
                <w:color w:val="000000"/>
              </w:rPr>
              <w:t>Gervasy</w:t>
            </w:r>
            <w:proofErr w:type="spellEnd"/>
          </w:p>
        </w:tc>
        <w:tc>
          <w:tcPr>
            <w:tcW w:w="1008" w:type="pct"/>
            <w:shd w:val="clear" w:color="auto" w:fill="auto"/>
            <w:noWrap/>
            <w:vAlign w:val="bottom"/>
          </w:tcPr>
          <w:p>
            <w:pPr>
              <w:spacing w:before="0"/>
              <w:jc w:val="center"/>
              <w:rPr>
                <w:rFonts w:cs="Calibri"/>
                <w:color w:val="000000"/>
              </w:rPr>
            </w:pPr>
            <w:r>
              <w:rPr>
                <w:rFonts w:cs="Calibri"/>
                <w:color w:val="000000"/>
              </w:rPr>
              <w:t>Regard</w:t>
            </w:r>
          </w:p>
        </w:tc>
        <w:tc>
          <w:tcPr>
            <w:tcW w:w="550" w:type="pct"/>
            <w:shd w:val="clear" w:color="auto" w:fill="auto"/>
            <w:noWrap/>
            <w:vAlign w:val="bottom"/>
          </w:tcPr>
          <w:p>
            <w:pPr>
              <w:spacing w:before="0"/>
              <w:jc w:val="center"/>
              <w:rPr>
                <w:rFonts w:cs="Calibri"/>
                <w:color w:val="000000"/>
              </w:rPr>
            </w:pPr>
            <w:r>
              <w:rPr>
                <w:rFonts w:cs="Calibri"/>
                <w:color w:val="000000"/>
              </w:rPr>
              <w:t>21</w:t>
            </w:r>
          </w:p>
        </w:tc>
        <w:tc>
          <w:tcPr>
            <w:tcW w:w="501" w:type="pct"/>
            <w:shd w:val="clear" w:color="auto" w:fill="auto"/>
            <w:noWrap/>
            <w:vAlign w:val="bottom"/>
          </w:tcPr>
          <w:p>
            <w:pPr>
              <w:spacing w:before="0"/>
              <w:jc w:val="center"/>
              <w:rPr>
                <w:rFonts w:cs="Calibri"/>
                <w:color w:val="000000"/>
              </w:rPr>
            </w:pPr>
            <w:r>
              <w:rPr>
                <w:rFonts w:cs="Calibri"/>
                <w:color w:val="000000"/>
              </w:rPr>
              <w:t>16</w:t>
            </w:r>
          </w:p>
        </w:tc>
        <w:tc>
          <w:tcPr>
            <w:tcW w:w="501" w:type="pct"/>
            <w:shd w:val="clear" w:color="auto" w:fill="auto"/>
            <w:noWrap/>
            <w:vAlign w:val="bottom"/>
          </w:tcPr>
          <w:p>
            <w:pPr>
              <w:spacing w:before="0"/>
              <w:jc w:val="center"/>
              <w:rPr>
                <w:rFonts w:cs="Calibri"/>
                <w:color w:val="000000"/>
              </w:rPr>
            </w:pPr>
            <w:r>
              <w:rPr>
                <w:rFonts w:cs="Calibri"/>
                <w:color w:val="000000"/>
              </w:rPr>
              <w:t>5</w:t>
            </w:r>
          </w:p>
        </w:tc>
        <w:tc>
          <w:tcPr>
            <w:tcW w:w="428" w:type="pct"/>
            <w:shd w:val="clear" w:color="auto" w:fill="auto"/>
            <w:noWrap/>
            <w:vAlign w:val="bottom"/>
          </w:tcPr>
          <w:p>
            <w:pPr>
              <w:spacing w:before="0"/>
              <w:jc w:val="center"/>
              <w:rPr>
                <w:rFonts w:cs="Calibri"/>
                <w:color w:val="000000"/>
              </w:rPr>
            </w:pPr>
            <w:r>
              <w:rPr>
                <w:rFonts w:cs="Calibri"/>
                <w:color w:val="000000"/>
              </w:rPr>
              <w:t>2230</w:t>
            </w:r>
          </w:p>
        </w:tc>
        <w:tc>
          <w:tcPr>
            <w:tcW w:w="587" w:type="pct"/>
            <w:vMerge w:val="restart"/>
            <w:vAlign w:val="center"/>
          </w:tcPr>
          <w:p>
            <w:pPr>
              <w:spacing w:before="0"/>
              <w:jc w:val="center"/>
              <w:rPr>
                <w:rFonts w:cs="Calibri"/>
                <w:color w:val="000000"/>
              </w:rPr>
            </w:pPr>
            <w:r>
              <w:rPr>
                <w:rFonts w:cs="Calibri"/>
                <w:color w:val="000000"/>
              </w:rPr>
              <w:t>10 110</w:t>
            </w:r>
          </w:p>
        </w:tc>
        <w:tc>
          <w:tcPr>
            <w:tcW w:w="752" w:type="pct"/>
            <w:vMerge w:val="restart"/>
            <w:shd w:val="clear" w:color="auto" w:fill="auto"/>
            <w:noWrap/>
            <w:vAlign w:val="center"/>
          </w:tcPr>
          <w:p>
            <w:pPr>
              <w:spacing w:before="0"/>
              <w:jc w:val="center"/>
              <w:rPr>
                <w:rFonts w:cs="Calibri"/>
                <w:color w:val="000000"/>
              </w:rPr>
            </w:pPr>
            <w:r>
              <w:rPr>
                <w:rFonts w:cs="Calibri"/>
                <w:color w:val="000000"/>
              </w:rPr>
              <w:t>12 503</w:t>
            </w:r>
          </w:p>
        </w:tc>
      </w:tr>
      <w:tr>
        <w:trPr>
          <w:trHeight w:val="300"/>
          <w:jc w:val="center"/>
        </w:trPr>
        <w:tc>
          <w:tcPr>
            <w:tcW w:w="672" w:type="pct"/>
            <w:vMerge/>
            <w:shd w:val="clear" w:color="auto" w:fill="auto"/>
            <w:noWrap/>
            <w:vAlign w:val="center"/>
          </w:tcPr>
          <w:p>
            <w:pPr>
              <w:spacing w:before="0"/>
              <w:jc w:val="left"/>
              <w:rPr>
                <w:rFonts w:cs="Calibri"/>
                <w:color w:val="000000"/>
              </w:rPr>
            </w:pPr>
          </w:p>
        </w:tc>
        <w:tc>
          <w:tcPr>
            <w:tcW w:w="1008" w:type="pct"/>
            <w:shd w:val="clear" w:color="auto" w:fill="auto"/>
            <w:noWrap/>
            <w:vAlign w:val="bottom"/>
          </w:tcPr>
          <w:p>
            <w:pPr>
              <w:spacing w:before="0"/>
              <w:jc w:val="center"/>
              <w:rPr>
                <w:rFonts w:cs="Calibri"/>
                <w:color w:val="000000"/>
              </w:rPr>
            </w:pPr>
            <w:r>
              <w:rPr>
                <w:rFonts w:cs="Calibri"/>
                <w:color w:val="000000"/>
              </w:rPr>
              <w:t>Boite de branchement</w:t>
            </w:r>
          </w:p>
        </w:tc>
        <w:tc>
          <w:tcPr>
            <w:tcW w:w="550" w:type="pct"/>
            <w:shd w:val="clear" w:color="auto" w:fill="auto"/>
            <w:noWrap/>
            <w:vAlign w:val="bottom"/>
          </w:tcPr>
          <w:p>
            <w:pPr>
              <w:spacing w:before="0"/>
              <w:jc w:val="center"/>
              <w:rPr>
                <w:rFonts w:cs="Calibri"/>
                <w:color w:val="000000"/>
              </w:rPr>
            </w:pPr>
            <w:r>
              <w:rPr>
                <w:rFonts w:cs="Calibri"/>
                <w:color w:val="000000"/>
              </w:rPr>
              <w:t>87</w:t>
            </w:r>
          </w:p>
        </w:tc>
        <w:tc>
          <w:tcPr>
            <w:tcW w:w="501" w:type="pct"/>
            <w:shd w:val="clear" w:color="auto" w:fill="auto"/>
            <w:noWrap/>
            <w:vAlign w:val="bottom"/>
          </w:tcPr>
          <w:p>
            <w:pPr>
              <w:spacing w:before="0"/>
              <w:jc w:val="center"/>
              <w:rPr>
                <w:rFonts w:cs="Calibri"/>
                <w:color w:val="000000"/>
              </w:rPr>
            </w:pPr>
            <w:r>
              <w:rPr>
                <w:rFonts w:cs="Calibri"/>
                <w:color w:val="000000"/>
              </w:rPr>
              <w:t>64</w:t>
            </w:r>
          </w:p>
        </w:tc>
        <w:tc>
          <w:tcPr>
            <w:tcW w:w="501" w:type="pct"/>
            <w:shd w:val="clear" w:color="auto" w:fill="auto"/>
            <w:noWrap/>
            <w:vAlign w:val="bottom"/>
          </w:tcPr>
          <w:p>
            <w:pPr>
              <w:spacing w:before="0"/>
              <w:jc w:val="center"/>
              <w:rPr>
                <w:rFonts w:cs="Calibri"/>
                <w:color w:val="000000"/>
              </w:rPr>
            </w:pPr>
            <w:r>
              <w:rPr>
                <w:rFonts w:cs="Calibri"/>
                <w:color w:val="000000"/>
              </w:rPr>
              <w:t>23</w:t>
            </w:r>
          </w:p>
        </w:tc>
        <w:tc>
          <w:tcPr>
            <w:tcW w:w="428" w:type="pct"/>
            <w:shd w:val="clear" w:color="auto" w:fill="auto"/>
            <w:noWrap/>
            <w:vAlign w:val="bottom"/>
          </w:tcPr>
          <w:p>
            <w:pPr>
              <w:spacing w:before="0"/>
              <w:jc w:val="center"/>
              <w:rPr>
                <w:rFonts w:cs="Calibri"/>
                <w:color w:val="000000"/>
              </w:rPr>
            </w:pPr>
            <w:r>
              <w:rPr>
                <w:rFonts w:cs="Calibri"/>
                <w:color w:val="000000"/>
              </w:rPr>
              <w:t>3865</w:t>
            </w:r>
          </w:p>
        </w:tc>
        <w:tc>
          <w:tcPr>
            <w:tcW w:w="587" w:type="pct"/>
            <w:vMerge/>
            <w:vAlign w:val="center"/>
          </w:tcPr>
          <w:p>
            <w:pPr>
              <w:spacing w:before="0"/>
              <w:jc w:val="left"/>
              <w:rPr>
                <w:rFonts w:cs="Calibri"/>
                <w:color w:val="000000"/>
              </w:rPr>
            </w:pPr>
          </w:p>
        </w:tc>
        <w:tc>
          <w:tcPr>
            <w:tcW w:w="752" w:type="pct"/>
            <w:vMerge/>
            <w:shd w:val="clear" w:color="auto" w:fill="auto"/>
            <w:noWrap/>
            <w:vAlign w:val="bottom"/>
          </w:tcPr>
          <w:p>
            <w:pPr>
              <w:spacing w:before="0"/>
              <w:jc w:val="left"/>
              <w:rPr>
                <w:rFonts w:cs="Calibri"/>
                <w:color w:val="000000"/>
              </w:rPr>
            </w:pPr>
          </w:p>
        </w:tc>
      </w:tr>
      <w:tr>
        <w:trPr>
          <w:trHeight w:val="300"/>
          <w:jc w:val="center"/>
        </w:trPr>
        <w:tc>
          <w:tcPr>
            <w:tcW w:w="672" w:type="pct"/>
            <w:vMerge/>
            <w:shd w:val="clear" w:color="auto" w:fill="auto"/>
            <w:noWrap/>
            <w:vAlign w:val="center"/>
          </w:tcPr>
          <w:p>
            <w:pPr>
              <w:spacing w:before="0"/>
              <w:jc w:val="left"/>
              <w:rPr>
                <w:rFonts w:cs="Calibri"/>
                <w:color w:val="000000"/>
              </w:rPr>
            </w:pPr>
          </w:p>
        </w:tc>
        <w:tc>
          <w:tcPr>
            <w:tcW w:w="1008" w:type="pct"/>
            <w:shd w:val="clear" w:color="auto" w:fill="auto"/>
            <w:noWrap/>
            <w:vAlign w:val="bottom"/>
          </w:tcPr>
          <w:p>
            <w:pPr>
              <w:spacing w:before="0"/>
              <w:jc w:val="center"/>
              <w:rPr>
                <w:rFonts w:cs="Calibri"/>
                <w:color w:val="000000"/>
              </w:rPr>
            </w:pPr>
            <w:r>
              <w:rPr>
                <w:rFonts w:cs="Calibri"/>
                <w:color w:val="000000"/>
              </w:rPr>
              <w:t>Gouttière</w:t>
            </w:r>
          </w:p>
        </w:tc>
        <w:tc>
          <w:tcPr>
            <w:tcW w:w="550" w:type="pct"/>
            <w:shd w:val="clear" w:color="auto" w:fill="auto"/>
            <w:noWrap/>
            <w:vAlign w:val="bottom"/>
          </w:tcPr>
          <w:p>
            <w:pPr>
              <w:spacing w:before="0"/>
              <w:jc w:val="center"/>
              <w:rPr>
                <w:rFonts w:cs="Calibri"/>
                <w:color w:val="000000"/>
              </w:rPr>
            </w:pPr>
            <w:r>
              <w:rPr>
                <w:rFonts w:cs="Calibri"/>
                <w:color w:val="000000"/>
              </w:rPr>
              <w:t>14</w:t>
            </w:r>
          </w:p>
        </w:tc>
        <w:tc>
          <w:tcPr>
            <w:tcW w:w="501" w:type="pct"/>
            <w:shd w:val="clear" w:color="auto" w:fill="auto"/>
            <w:noWrap/>
            <w:vAlign w:val="bottom"/>
          </w:tcPr>
          <w:p>
            <w:pPr>
              <w:spacing w:before="0"/>
              <w:jc w:val="center"/>
              <w:rPr>
                <w:rFonts w:cs="Calibri"/>
                <w:color w:val="000000"/>
              </w:rPr>
            </w:pPr>
            <w:r>
              <w:rPr>
                <w:rFonts w:cs="Calibri"/>
                <w:color w:val="000000"/>
              </w:rPr>
              <w:t>0</w:t>
            </w:r>
          </w:p>
        </w:tc>
        <w:tc>
          <w:tcPr>
            <w:tcW w:w="501" w:type="pct"/>
            <w:shd w:val="clear" w:color="auto" w:fill="auto"/>
            <w:noWrap/>
            <w:vAlign w:val="bottom"/>
          </w:tcPr>
          <w:p>
            <w:pPr>
              <w:spacing w:before="0"/>
              <w:jc w:val="center"/>
              <w:rPr>
                <w:rFonts w:cs="Calibri"/>
                <w:color w:val="000000"/>
              </w:rPr>
            </w:pPr>
            <w:r>
              <w:rPr>
                <w:rFonts w:cs="Calibri"/>
                <w:color w:val="000000"/>
              </w:rPr>
              <w:t>14</w:t>
            </w:r>
          </w:p>
        </w:tc>
        <w:tc>
          <w:tcPr>
            <w:tcW w:w="428" w:type="pct"/>
            <w:shd w:val="clear" w:color="auto" w:fill="auto"/>
            <w:noWrap/>
            <w:vAlign w:val="bottom"/>
          </w:tcPr>
          <w:p>
            <w:pPr>
              <w:spacing w:before="0"/>
              <w:jc w:val="center"/>
              <w:rPr>
                <w:rFonts w:cs="Calibri"/>
                <w:color w:val="000000"/>
              </w:rPr>
            </w:pPr>
            <w:r>
              <w:rPr>
                <w:rFonts w:cs="Calibri"/>
                <w:color w:val="000000"/>
              </w:rPr>
              <w:t>850</w:t>
            </w:r>
          </w:p>
        </w:tc>
        <w:tc>
          <w:tcPr>
            <w:tcW w:w="587" w:type="pct"/>
            <w:vMerge/>
            <w:vAlign w:val="center"/>
          </w:tcPr>
          <w:p>
            <w:pPr>
              <w:spacing w:before="0"/>
              <w:jc w:val="left"/>
              <w:rPr>
                <w:rFonts w:cs="Calibri"/>
                <w:color w:val="000000"/>
              </w:rPr>
            </w:pPr>
          </w:p>
        </w:tc>
        <w:tc>
          <w:tcPr>
            <w:tcW w:w="752" w:type="pct"/>
            <w:vMerge/>
            <w:shd w:val="clear" w:color="auto" w:fill="auto"/>
            <w:noWrap/>
            <w:vAlign w:val="bottom"/>
          </w:tcPr>
          <w:p>
            <w:pPr>
              <w:spacing w:before="0"/>
              <w:jc w:val="left"/>
              <w:rPr>
                <w:rFonts w:cs="Calibri"/>
                <w:color w:val="000000"/>
              </w:rPr>
            </w:pPr>
          </w:p>
        </w:tc>
      </w:tr>
      <w:tr>
        <w:trPr>
          <w:trHeight w:val="300"/>
          <w:jc w:val="center"/>
        </w:trPr>
        <w:tc>
          <w:tcPr>
            <w:tcW w:w="672" w:type="pct"/>
            <w:vMerge/>
            <w:shd w:val="clear" w:color="auto" w:fill="auto"/>
            <w:noWrap/>
            <w:vAlign w:val="center"/>
          </w:tcPr>
          <w:p>
            <w:pPr>
              <w:spacing w:before="0"/>
              <w:jc w:val="left"/>
              <w:rPr>
                <w:rFonts w:cs="Calibri"/>
                <w:color w:val="000000"/>
              </w:rPr>
            </w:pPr>
          </w:p>
        </w:tc>
        <w:tc>
          <w:tcPr>
            <w:tcW w:w="1008" w:type="pct"/>
            <w:shd w:val="clear" w:color="auto" w:fill="auto"/>
            <w:noWrap/>
            <w:vAlign w:val="bottom"/>
          </w:tcPr>
          <w:p>
            <w:pPr>
              <w:spacing w:before="0"/>
              <w:jc w:val="center"/>
              <w:rPr>
                <w:rFonts w:cs="Calibri"/>
                <w:color w:val="000000"/>
              </w:rPr>
            </w:pPr>
            <w:r>
              <w:rPr>
                <w:rFonts w:cs="Calibri"/>
                <w:color w:val="000000"/>
              </w:rPr>
              <w:t>Avaloir</w:t>
            </w:r>
          </w:p>
        </w:tc>
        <w:tc>
          <w:tcPr>
            <w:tcW w:w="550" w:type="pct"/>
            <w:shd w:val="clear" w:color="auto" w:fill="auto"/>
            <w:noWrap/>
            <w:vAlign w:val="bottom"/>
          </w:tcPr>
          <w:p>
            <w:pPr>
              <w:spacing w:before="0"/>
              <w:jc w:val="center"/>
              <w:rPr>
                <w:rFonts w:cs="Calibri"/>
                <w:color w:val="000000"/>
              </w:rPr>
            </w:pPr>
            <w:r>
              <w:rPr>
                <w:rFonts w:cs="Calibri"/>
                <w:color w:val="000000"/>
              </w:rPr>
              <w:t>4</w:t>
            </w:r>
          </w:p>
        </w:tc>
        <w:tc>
          <w:tcPr>
            <w:tcW w:w="501" w:type="pct"/>
            <w:shd w:val="clear" w:color="auto" w:fill="auto"/>
            <w:noWrap/>
            <w:vAlign w:val="bottom"/>
          </w:tcPr>
          <w:p>
            <w:pPr>
              <w:spacing w:before="0"/>
              <w:jc w:val="center"/>
              <w:rPr>
                <w:rFonts w:cs="Calibri"/>
                <w:color w:val="000000"/>
              </w:rPr>
            </w:pPr>
            <w:r>
              <w:rPr>
                <w:rFonts w:cs="Calibri"/>
                <w:color w:val="000000"/>
              </w:rPr>
              <w:t>3</w:t>
            </w:r>
          </w:p>
        </w:tc>
        <w:tc>
          <w:tcPr>
            <w:tcW w:w="501" w:type="pct"/>
            <w:shd w:val="clear" w:color="auto" w:fill="auto"/>
            <w:noWrap/>
            <w:vAlign w:val="bottom"/>
          </w:tcPr>
          <w:p>
            <w:pPr>
              <w:spacing w:before="0"/>
              <w:jc w:val="center"/>
              <w:rPr>
                <w:rFonts w:cs="Calibri"/>
                <w:color w:val="000000"/>
              </w:rPr>
            </w:pPr>
            <w:r>
              <w:rPr>
                <w:rFonts w:cs="Calibri"/>
                <w:color w:val="000000"/>
              </w:rPr>
              <w:t>1</w:t>
            </w:r>
          </w:p>
        </w:tc>
        <w:tc>
          <w:tcPr>
            <w:tcW w:w="428" w:type="pct"/>
            <w:shd w:val="clear" w:color="auto" w:fill="auto"/>
            <w:noWrap/>
            <w:vAlign w:val="bottom"/>
          </w:tcPr>
          <w:p>
            <w:pPr>
              <w:spacing w:before="0"/>
              <w:jc w:val="center"/>
              <w:rPr>
                <w:rFonts w:cs="Calibri"/>
                <w:color w:val="000000"/>
              </w:rPr>
            </w:pPr>
            <w:r>
              <w:rPr>
                <w:rFonts w:cs="Calibri"/>
                <w:color w:val="000000"/>
              </w:rPr>
              <w:t>1970</w:t>
            </w:r>
          </w:p>
        </w:tc>
        <w:tc>
          <w:tcPr>
            <w:tcW w:w="587" w:type="pct"/>
            <w:vMerge/>
            <w:vAlign w:val="center"/>
          </w:tcPr>
          <w:p>
            <w:pPr>
              <w:spacing w:before="0"/>
              <w:jc w:val="left"/>
              <w:rPr>
                <w:rFonts w:cs="Calibri"/>
                <w:color w:val="000000"/>
              </w:rPr>
            </w:pPr>
          </w:p>
        </w:tc>
        <w:tc>
          <w:tcPr>
            <w:tcW w:w="752" w:type="pct"/>
            <w:vMerge/>
            <w:shd w:val="clear" w:color="auto" w:fill="auto"/>
            <w:noWrap/>
            <w:vAlign w:val="bottom"/>
          </w:tcPr>
          <w:p>
            <w:pPr>
              <w:spacing w:before="0"/>
              <w:jc w:val="left"/>
              <w:rPr>
                <w:rFonts w:cs="Calibri"/>
                <w:color w:val="000000"/>
              </w:rPr>
            </w:pPr>
          </w:p>
        </w:tc>
      </w:tr>
      <w:tr>
        <w:trPr>
          <w:trHeight w:val="300"/>
          <w:jc w:val="center"/>
        </w:trPr>
        <w:tc>
          <w:tcPr>
            <w:tcW w:w="672" w:type="pct"/>
            <w:vMerge/>
            <w:shd w:val="clear" w:color="auto" w:fill="auto"/>
            <w:noWrap/>
            <w:vAlign w:val="center"/>
          </w:tcPr>
          <w:p>
            <w:pPr>
              <w:spacing w:before="0"/>
              <w:jc w:val="left"/>
              <w:rPr>
                <w:rFonts w:cs="Calibri"/>
                <w:color w:val="000000"/>
              </w:rPr>
            </w:pPr>
          </w:p>
        </w:tc>
        <w:tc>
          <w:tcPr>
            <w:tcW w:w="1008" w:type="pct"/>
            <w:shd w:val="clear" w:color="auto" w:fill="auto"/>
            <w:noWrap/>
            <w:vAlign w:val="bottom"/>
          </w:tcPr>
          <w:p>
            <w:pPr>
              <w:spacing w:before="0"/>
              <w:jc w:val="center"/>
              <w:rPr>
                <w:rFonts w:cs="Calibri"/>
                <w:color w:val="000000"/>
              </w:rPr>
            </w:pPr>
            <w:r>
              <w:rPr>
                <w:rFonts w:cs="Calibri"/>
                <w:color w:val="000000"/>
              </w:rPr>
              <w:t>Autres</w:t>
            </w:r>
          </w:p>
        </w:tc>
        <w:tc>
          <w:tcPr>
            <w:tcW w:w="550" w:type="pct"/>
            <w:shd w:val="clear" w:color="auto" w:fill="auto"/>
            <w:noWrap/>
            <w:vAlign w:val="bottom"/>
          </w:tcPr>
          <w:p>
            <w:pPr>
              <w:spacing w:before="0"/>
              <w:jc w:val="center"/>
              <w:rPr>
                <w:rFonts w:cs="Calibri"/>
                <w:color w:val="000000"/>
              </w:rPr>
            </w:pPr>
            <w:r>
              <w:rPr>
                <w:rFonts w:cs="Calibri"/>
                <w:color w:val="000000"/>
              </w:rPr>
              <w:t>6</w:t>
            </w:r>
          </w:p>
        </w:tc>
        <w:tc>
          <w:tcPr>
            <w:tcW w:w="501" w:type="pct"/>
            <w:shd w:val="clear" w:color="auto" w:fill="auto"/>
            <w:noWrap/>
            <w:vAlign w:val="bottom"/>
          </w:tcPr>
          <w:p>
            <w:pPr>
              <w:spacing w:before="0"/>
              <w:jc w:val="center"/>
              <w:rPr>
                <w:rFonts w:cs="Calibri"/>
                <w:color w:val="000000"/>
              </w:rPr>
            </w:pPr>
            <w:r>
              <w:rPr>
                <w:rFonts w:cs="Calibri"/>
                <w:color w:val="000000"/>
              </w:rPr>
              <w:t>4</w:t>
            </w:r>
          </w:p>
        </w:tc>
        <w:tc>
          <w:tcPr>
            <w:tcW w:w="501" w:type="pct"/>
            <w:shd w:val="clear" w:color="auto" w:fill="auto"/>
            <w:noWrap/>
            <w:vAlign w:val="bottom"/>
          </w:tcPr>
          <w:p>
            <w:pPr>
              <w:spacing w:before="0"/>
              <w:jc w:val="center"/>
              <w:rPr>
                <w:rFonts w:cs="Calibri"/>
                <w:color w:val="000000"/>
              </w:rPr>
            </w:pPr>
            <w:r>
              <w:rPr>
                <w:rFonts w:cs="Calibri"/>
                <w:color w:val="000000"/>
              </w:rPr>
              <w:t>2</w:t>
            </w:r>
          </w:p>
        </w:tc>
        <w:tc>
          <w:tcPr>
            <w:tcW w:w="428" w:type="pct"/>
            <w:shd w:val="clear" w:color="auto" w:fill="auto"/>
            <w:noWrap/>
            <w:vAlign w:val="bottom"/>
          </w:tcPr>
          <w:p>
            <w:pPr>
              <w:spacing w:before="0"/>
              <w:jc w:val="center"/>
              <w:rPr>
                <w:rFonts w:cs="Calibri"/>
                <w:color w:val="000000"/>
              </w:rPr>
            </w:pPr>
            <w:r>
              <w:rPr>
                <w:rFonts w:cs="Calibri"/>
                <w:color w:val="000000"/>
              </w:rPr>
              <w:t>605</w:t>
            </w:r>
          </w:p>
        </w:tc>
        <w:tc>
          <w:tcPr>
            <w:tcW w:w="587" w:type="pct"/>
            <w:vMerge/>
            <w:vAlign w:val="center"/>
          </w:tcPr>
          <w:p>
            <w:pPr>
              <w:spacing w:before="0"/>
              <w:jc w:val="left"/>
              <w:rPr>
                <w:rFonts w:cs="Calibri"/>
                <w:color w:val="000000"/>
              </w:rPr>
            </w:pPr>
          </w:p>
        </w:tc>
        <w:tc>
          <w:tcPr>
            <w:tcW w:w="752" w:type="pct"/>
            <w:vMerge/>
            <w:shd w:val="clear" w:color="auto" w:fill="auto"/>
            <w:noWrap/>
            <w:vAlign w:val="bottom"/>
          </w:tcPr>
          <w:p>
            <w:pPr>
              <w:spacing w:before="0"/>
              <w:jc w:val="left"/>
              <w:rPr>
                <w:rFonts w:cs="Calibri"/>
                <w:color w:val="000000"/>
              </w:rPr>
            </w:pPr>
          </w:p>
        </w:tc>
      </w:tr>
      <w:tr>
        <w:trPr>
          <w:trHeight w:val="300"/>
          <w:jc w:val="center"/>
        </w:trPr>
        <w:tc>
          <w:tcPr>
            <w:tcW w:w="672" w:type="pct"/>
            <w:vMerge/>
            <w:shd w:val="clear" w:color="auto" w:fill="auto"/>
            <w:noWrap/>
            <w:vAlign w:val="center"/>
          </w:tcPr>
          <w:p>
            <w:pPr>
              <w:spacing w:before="0"/>
              <w:jc w:val="left"/>
              <w:rPr>
                <w:rFonts w:cs="Calibri"/>
                <w:color w:val="000000"/>
              </w:rPr>
            </w:pPr>
          </w:p>
        </w:tc>
        <w:tc>
          <w:tcPr>
            <w:tcW w:w="1008" w:type="pct"/>
            <w:shd w:val="clear" w:color="auto" w:fill="auto"/>
            <w:noWrap/>
            <w:vAlign w:val="center"/>
          </w:tcPr>
          <w:p>
            <w:pPr>
              <w:spacing w:before="0"/>
              <w:jc w:val="center"/>
              <w:rPr>
                <w:rFonts w:cs="Calibri"/>
                <w:color w:val="000000"/>
              </w:rPr>
            </w:pPr>
            <w:r>
              <w:rPr>
                <w:rFonts w:cs="Calibri"/>
                <w:color w:val="000000"/>
              </w:rPr>
              <w:t>Anomalie non identifiée</w:t>
            </w:r>
          </w:p>
        </w:tc>
        <w:tc>
          <w:tcPr>
            <w:tcW w:w="550" w:type="pct"/>
            <w:shd w:val="clear" w:color="auto" w:fill="auto"/>
            <w:noWrap/>
            <w:vAlign w:val="bottom"/>
          </w:tcPr>
          <w:p>
            <w:pPr>
              <w:spacing w:before="0"/>
              <w:jc w:val="center"/>
              <w:rPr>
                <w:rFonts w:cs="Calibri"/>
                <w:color w:val="000000"/>
              </w:rPr>
            </w:pPr>
            <w:r>
              <w:rPr>
                <w:rFonts w:cs="Calibri"/>
                <w:color w:val="000000"/>
              </w:rPr>
              <w:t>19</w:t>
            </w:r>
          </w:p>
        </w:tc>
        <w:tc>
          <w:tcPr>
            <w:tcW w:w="501" w:type="pct"/>
            <w:shd w:val="clear" w:color="auto" w:fill="auto"/>
            <w:noWrap/>
            <w:vAlign w:val="bottom"/>
          </w:tcPr>
          <w:p>
            <w:pPr>
              <w:spacing w:before="0"/>
              <w:jc w:val="center"/>
              <w:rPr>
                <w:rFonts w:cs="Calibri"/>
                <w:color w:val="000000"/>
              </w:rPr>
            </w:pPr>
            <w:r>
              <w:rPr>
                <w:rFonts w:cs="Calibri"/>
                <w:color w:val="000000"/>
              </w:rPr>
              <w:t>7</w:t>
            </w:r>
          </w:p>
        </w:tc>
        <w:tc>
          <w:tcPr>
            <w:tcW w:w="501" w:type="pct"/>
            <w:shd w:val="clear" w:color="auto" w:fill="auto"/>
            <w:noWrap/>
            <w:vAlign w:val="bottom"/>
          </w:tcPr>
          <w:p>
            <w:pPr>
              <w:spacing w:before="0"/>
              <w:jc w:val="center"/>
              <w:rPr>
                <w:rFonts w:cs="Calibri"/>
                <w:color w:val="000000"/>
              </w:rPr>
            </w:pPr>
            <w:r>
              <w:rPr>
                <w:rFonts w:cs="Calibri"/>
                <w:color w:val="000000"/>
              </w:rPr>
              <w:t>12</w:t>
            </w:r>
          </w:p>
        </w:tc>
        <w:tc>
          <w:tcPr>
            <w:tcW w:w="428" w:type="pct"/>
            <w:shd w:val="clear" w:color="auto" w:fill="auto"/>
            <w:noWrap/>
            <w:vAlign w:val="bottom"/>
          </w:tcPr>
          <w:p>
            <w:pPr>
              <w:spacing w:before="0"/>
              <w:jc w:val="center"/>
              <w:rPr>
                <w:rFonts w:cs="Calibri"/>
                <w:color w:val="000000"/>
              </w:rPr>
            </w:pPr>
            <w:r>
              <w:rPr>
                <w:rFonts w:cs="Calibri"/>
                <w:color w:val="000000"/>
              </w:rPr>
              <w:t>590</w:t>
            </w:r>
          </w:p>
        </w:tc>
        <w:tc>
          <w:tcPr>
            <w:tcW w:w="587" w:type="pct"/>
            <w:vMerge/>
            <w:vAlign w:val="center"/>
          </w:tcPr>
          <w:p>
            <w:pPr>
              <w:spacing w:before="0"/>
              <w:jc w:val="left"/>
              <w:rPr>
                <w:rFonts w:cs="Calibri"/>
                <w:color w:val="000000"/>
              </w:rPr>
            </w:pPr>
          </w:p>
        </w:tc>
        <w:tc>
          <w:tcPr>
            <w:tcW w:w="752" w:type="pct"/>
            <w:vMerge/>
            <w:shd w:val="clear" w:color="auto" w:fill="auto"/>
            <w:noWrap/>
            <w:vAlign w:val="bottom"/>
          </w:tcPr>
          <w:p>
            <w:pPr>
              <w:spacing w:before="0"/>
              <w:jc w:val="left"/>
              <w:rPr>
                <w:rFonts w:cs="Calibri"/>
                <w:color w:val="000000"/>
              </w:rPr>
            </w:pPr>
          </w:p>
        </w:tc>
      </w:tr>
      <w:tr>
        <w:trPr>
          <w:trHeight w:val="300"/>
          <w:jc w:val="center"/>
        </w:trPr>
        <w:tc>
          <w:tcPr>
            <w:tcW w:w="672" w:type="pct"/>
            <w:vMerge/>
            <w:shd w:val="clear" w:color="auto" w:fill="auto"/>
            <w:noWrap/>
            <w:vAlign w:val="center"/>
          </w:tcPr>
          <w:p>
            <w:pPr>
              <w:spacing w:before="0"/>
              <w:jc w:val="left"/>
              <w:rPr>
                <w:rFonts w:cs="Calibri"/>
                <w:color w:val="000000"/>
              </w:rPr>
            </w:pPr>
          </w:p>
        </w:tc>
        <w:tc>
          <w:tcPr>
            <w:tcW w:w="1008" w:type="pct"/>
            <w:shd w:val="clear" w:color="auto" w:fill="auto"/>
            <w:noWrap/>
            <w:vAlign w:val="bottom"/>
          </w:tcPr>
          <w:p>
            <w:pPr>
              <w:spacing w:before="0"/>
              <w:jc w:val="center"/>
              <w:rPr>
                <w:rFonts w:cs="Calibri"/>
                <w:b/>
                <w:color w:val="000000"/>
              </w:rPr>
            </w:pPr>
            <w:r>
              <w:rPr>
                <w:rFonts w:cs="Calibri"/>
                <w:b/>
                <w:color w:val="000000"/>
              </w:rPr>
              <w:t>TOTAL</w:t>
            </w:r>
          </w:p>
        </w:tc>
        <w:tc>
          <w:tcPr>
            <w:tcW w:w="550" w:type="pct"/>
            <w:shd w:val="clear" w:color="auto" w:fill="auto"/>
            <w:noWrap/>
            <w:vAlign w:val="bottom"/>
          </w:tcPr>
          <w:p>
            <w:pPr>
              <w:spacing w:before="0"/>
              <w:jc w:val="center"/>
              <w:rPr>
                <w:rFonts w:cs="Calibri"/>
                <w:b/>
                <w:color w:val="000000"/>
              </w:rPr>
            </w:pPr>
            <w:r>
              <w:rPr>
                <w:rFonts w:cs="Calibri"/>
                <w:b/>
                <w:color w:val="000000"/>
              </w:rPr>
              <w:t>151</w:t>
            </w:r>
          </w:p>
        </w:tc>
        <w:tc>
          <w:tcPr>
            <w:tcW w:w="501" w:type="pct"/>
            <w:shd w:val="clear" w:color="auto" w:fill="auto"/>
            <w:noWrap/>
            <w:vAlign w:val="bottom"/>
          </w:tcPr>
          <w:p>
            <w:pPr>
              <w:spacing w:before="0"/>
              <w:jc w:val="center"/>
              <w:rPr>
                <w:rFonts w:cs="Calibri"/>
                <w:b/>
                <w:color w:val="000000"/>
              </w:rPr>
            </w:pPr>
            <w:r>
              <w:rPr>
                <w:rFonts w:cs="Calibri"/>
                <w:b/>
                <w:color w:val="000000"/>
              </w:rPr>
              <w:t>94</w:t>
            </w:r>
          </w:p>
        </w:tc>
        <w:tc>
          <w:tcPr>
            <w:tcW w:w="501" w:type="pct"/>
            <w:shd w:val="clear" w:color="auto" w:fill="auto"/>
            <w:noWrap/>
            <w:vAlign w:val="bottom"/>
          </w:tcPr>
          <w:p>
            <w:pPr>
              <w:spacing w:before="0"/>
              <w:jc w:val="center"/>
              <w:rPr>
                <w:rFonts w:cs="Calibri"/>
                <w:b/>
                <w:color w:val="000000"/>
              </w:rPr>
            </w:pPr>
            <w:r>
              <w:rPr>
                <w:rFonts w:cs="Calibri"/>
                <w:b/>
                <w:color w:val="000000"/>
              </w:rPr>
              <w:t>57</w:t>
            </w:r>
          </w:p>
        </w:tc>
        <w:tc>
          <w:tcPr>
            <w:tcW w:w="428" w:type="pct"/>
            <w:shd w:val="clear" w:color="auto" w:fill="auto"/>
            <w:noWrap/>
            <w:vAlign w:val="bottom"/>
          </w:tcPr>
          <w:p>
            <w:pPr>
              <w:spacing w:before="0"/>
              <w:jc w:val="center"/>
              <w:rPr>
                <w:rFonts w:cs="Calibri"/>
                <w:b/>
                <w:color w:val="000000"/>
              </w:rPr>
            </w:pPr>
            <w:r>
              <w:rPr>
                <w:rFonts w:cs="Calibri"/>
                <w:b/>
                <w:color w:val="000000"/>
              </w:rPr>
              <w:t>10110</w:t>
            </w:r>
          </w:p>
        </w:tc>
        <w:tc>
          <w:tcPr>
            <w:tcW w:w="587" w:type="pct"/>
            <w:vMerge/>
            <w:vAlign w:val="center"/>
          </w:tcPr>
          <w:p>
            <w:pPr>
              <w:spacing w:before="0"/>
              <w:jc w:val="center"/>
              <w:rPr>
                <w:rFonts w:cs="Calibri"/>
                <w:color w:val="000000"/>
              </w:rPr>
            </w:pPr>
          </w:p>
        </w:tc>
        <w:tc>
          <w:tcPr>
            <w:tcW w:w="752" w:type="pct"/>
            <w:vMerge/>
            <w:shd w:val="clear" w:color="auto" w:fill="auto"/>
            <w:noWrap/>
            <w:vAlign w:val="bottom"/>
          </w:tcPr>
          <w:p>
            <w:pPr>
              <w:spacing w:before="0"/>
              <w:jc w:val="center"/>
              <w:rPr>
                <w:rFonts w:cs="Calibri"/>
                <w:color w:val="000000"/>
              </w:rPr>
            </w:pPr>
          </w:p>
        </w:tc>
      </w:tr>
      <w:tr>
        <w:trPr>
          <w:trHeight w:val="300"/>
          <w:jc w:val="center"/>
        </w:trPr>
        <w:tc>
          <w:tcPr>
            <w:tcW w:w="672" w:type="pct"/>
            <w:vMerge w:val="restart"/>
            <w:shd w:val="clear" w:color="auto" w:fill="auto"/>
            <w:noWrap/>
            <w:vAlign w:val="center"/>
          </w:tcPr>
          <w:p>
            <w:pPr>
              <w:spacing w:before="0"/>
              <w:jc w:val="center"/>
              <w:rPr>
                <w:rFonts w:cs="Calibri"/>
                <w:color w:val="000000"/>
              </w:rPr>
            </w:pPr>
            <w:proofErr w:type="spellStart"/>
            <w:r>
              <w:rPr>
                <w:rFonts w:cs="Calibri"/>
                <w:color w:val="000000"/>
              </w:rPr>
              <w:t>Bezouce</w:t>
            </w:r>
            <w:proofErr w:type="spellEnd"/>
          </w:p>
        </w:tc>
        <w:tc>
          <w:tcPr>
            <w:tcW w:w="1008" w:type="pct"/>
            <w:shd w:val="clear" w:color="auto" w:fill="auto"/>
            <w:noWrap/>
            <w:vAlign w:val="bottom"/>
          </w:tcPr>
          <w:p>
            <w:pPr>
              <w:spacing w:before="0"/>
              <w:jc w:val="center"/>
              <w:rPr>
                <w:rFonts w:cs="Calibri"/>
                <w:color w:val="000000"/>
                <w:szCs w:val="22"/>
              </w:rPr>
            </w:pPr>
            <w:r>
              <w:rPr>
                <w:rFonts w:cs="Calibri"/>
                <w:color w:val="000000"/>
                <w:szCs w:val="22"/>
              </w:rPr>
              <w:t>Regard</w:t>
            </w:r>
          </w:p>
        </w:tc>
        <w:tc>
          <w:tcPr>
            <w:tcW w:w="550" w:type="pct"/>
            <w:shd w:val="clear" w:color="auto" w:fill="auto"/>
            <w:noWrap/>
            <w:vAlign w:val="bottom"/>
          </w:tcPr>
          <w:p>
            <w:pPr>
              <w:spacing w:before="0"/>
              <w:jc w:val="center"/>
              <w:rPr>
                <w:rFonts w:cs="Calibri"/>
                <w:color w:val="000000"/>
                <w:szCs w:val="22"/>
              </w:rPr>
            </w:pPr>
            <w:r>
              <w:rPr>
                <w:rFonts w:cs="Calibri"/>
                <w:color w:val="000000"/>
                <w:szCs w:val="22"/>
              </w:rPr>
              <w:t>6</w:t>
            </w:r>
          </w:p>
        </w:tc>
        <w:tc>
          <w:tcPr>
            <w:tcW w:w="501" w:type="pct"/>
            <w:shd w:val="clear" w:color="auto" w:fill="auto"/>
            <w:noWrap/>
            <w:vAlign w:val="bottom"/>
          </w:tcPr>
          <w:p>
            <w:pPr>
              <w:spacing w:before="0"/>
              <w:jc w:val="center"/>
              <w:rPr>
                <w:rFonts w:cs="Calibri"/>
                <w:color w:val="000000"/>
                <w:szCs w:val="22"/>
              </w:rPr>
            </w:pPr>
            <w:r>
              <w:rPr>
                <w:rFonts w:cs="Calibri"/>
                <w:color w:val="000000"/>
                <w:szCs w:val="22"/>
              </w:rPr>
              <w:t>5</w:t>
            </w:r>
          </w:p>
        </w:tc>
        <w:tc>
          <w:tcPr>
            <w:tcW w:w="501" w:type="pct"/>
            <w:shd w:val="clear" w:color="auto" w:fill="auto"/>
            <w:noWrap/>
            <w:vAlign w:val="bottom"/>
          </w:tcPr>
          <w:p>
            <w:pPr>
              <w:spacing w:before="0"/>
              <w:jc w:val="center"/>
              <w:rPr>
                <w:rFonts w:cs="Calibri"/>
                <w:color w:val="000000"/>
                <w:szCs w:val="22"/>
              </w:rPr>
            </w:pPr>
            <w:r>
              <w:rPr>
                <w:rFonts w:cs="Calibri"/>
                <w:color w:val="000000"/>
                <w:szCs w:val="22"/>
              </w:rPr>
              <w:t>1</w:t>
            </w:r>
          </w:p>
        </w:tc>
        <w:tc>
          <w:tcPr>
            <w:tcW w:w="428" w:type="pct"/>
            <w:shd w:val="clear" w:color="auto" w:fill="auto"/>
            <w:noWrap/>
            <w:vAlign w:val="bottom"/>
          </w:tcPr>
          <w:p>
            <w:pPr>
              <w:spacing w:before="0"/>
              <w:jc w:val="center"/>
              <w:rPr>
                <w:rFonts w:cs="Calibri"/>
                <w:color w:val="000000"/>
                <w:szCs w:val="22"/>
              </w:rPr>
            </w:pPr>
            <w:r>
              <w:rPr>
                <w:rFonts w:cs="Calibri"/>
                <w:color w:val="000000"/>
                <w:szCs w:val="22"/>
              </w:rPr>
              <w:t>5</w:t>
            </w:r>
          </w:p>
        </w:tc>
        <w:tc>
          <w:tcPr>
            <w:tcW w:w="587" w:type="pct"/>
            <w:vMerge w:val="restart"/>
            <w:vAlign w:val="center"/>
          </w:tcPr>
          <w:p>
            <w:pPr>
              <w:spacing w:before="0"/>
              <w:jc w:val="center"/>
              <w:rPr>
                <w:rFonts w:cs="Calibri"/>
                <w:color w:val="000000"/>
              </w:rPr>
            </w:pPr>
            <w:r>
              <w:rPr>
                <w:rFonts w:cs="Calibri"/>
                <w:color w:val="000000"/>
              </w:rPr>
              <w:t>4 860</w:t>
            </w:r>
          </w:p>
        </w:tc>
        <w:tc>
          <w:tcPr>
            <w:tcW w:w="752" w:type="pct"/>
            <w:vMerge w:val="restart"/>
            <w:shd w:val="clear" w:color="auto" w:fill="auto"/>
            <w:noWrap/>
            <w:vAlign w:val="center"/>
          </w:tcPr>
          <w:p>
            <w:pPr>
              <w:spacing w:before="0"/>
              <w:jc w:val="center"/>
              <w:rPr>
                <w:rFonts w:cs="Calibri"/>
                <w:color w:val="000000"/>
              </w:rPr>
            </w:pPr>
            <w:r>
              <w:rPr>
                <w:rFonts w:cs="Calibri"/>
                <w:color w:val="000000"/>
              </w:rPr>
              <w:t>6 152</w:t>
            </w:r>
          </w:p>
        </w:tc>
      </w:tr>
      <w:tr>
        <w:trPr>
          <w:trHeight w:val="300"/>
          <w:jc w:val="center"/>
        </w:trPr>
        <w:tc>
          <w:tcPr>
            <w:tcW w:w="672" w:type="pct"/>
            <w:vMerge/>
            <w:shd w:val="clear" w:color="auto" w:fill="auto"/>
            <w:noWrap/>
            <w:vAlign w:val="center"/>
          </w:tcPr>
          <w:p>
            <w:pPr>
              <w:spacing w:before="0"/>
              <w:jc w:val="left"/>
              <w:rPr>
                <w:rFonts w:cs="Calibri"/>
                <w:color w:val="000000"/>
              </w:rPr>
            </w:pPr>
          </w:p>
        </w:tc>
        <w:tc>
          <w:tcPr>
            <w:tcW w:w="1008" w:type="pct"/>
            <w:shd w:val="clear" w:color="auto" w:fill="auto"/>
            <w:noWrap/>
            <w:vAlign w:val="bottom"/>
          </w:tcPr>
          <w:p>
            <w:pPr>
              <w:spacing w:before="0"/>
              <w:jc w:val="center"/>
              <w:rPr>
                <w:rFonts w:cs="Calibri"/>
                <w:color w:val="000000"/>
                <w:szCs w:val="22"/>
              </w:rPr>
            </w:pPr>
            <w:r>
              <w:rPr>
                <w:rFonts w:cs="Calibri"/>
                <w:color w:val="000000"/>
                <w:szCs w:val="22"/>
              </w:rPr>
              <w:t>Boite de branchement</w:t>
            </w:r>
          </w:p>
        </w:tc>
        <w:tc>
          <w:tcPr>
            <w:tcW w:w="550" w:type="pct"/>
            <w:shd w:val="clear" w:color="auto" w:fill="auto"/>
            <w:noWrap/>
            <w:vAlign w:val="bottom"/>
          </w:tcPr>
          <w:p>
            <w:pPr>
              <w:spacing w:before="0"/>
              <w:jc w:val="center"/>
              <w:rPr>
                <w:rFonts w:cs="Calibri"/>
                <w:color w:val="000000"/>
                <w:szCs w:val="22"/>
              </w:rPr>
            </w:pPr>
            <w:r>
              <w:rPr>
                <w:rFonts w:cs="Calibri"/>
                <w:color w:val="000000"/>
                <w:szCs w:val="22"/>
              </w:rPr>
              <w:t>55</w:t>
            </w:r>
          </w:p>
        </w:tc>
        <w:tc>
          <w:tcPr>
            <w:tcW w:w="501" w:type="pct"/>
            <w:shd w:val="clear" w:color="auto" w:fill="auto"/>
            <w:noWrap/>
            <w:vAlign w:val="bottom"/>
          </w:tcPr>
          <w:p>
            <w:pPr>
              <w:spacing w:before="0"/>
              <w:jc w:val="center"/>
              <w:rPr>
                <w:rFonts w:cs="Calibri"/>
                <w:color w:val="000000"/>
                <w:szCs w:val="22"/>
              </w:rPr>
            </w:pPr>
            <w:r>
              <w:rPr>
                <w:rFonts w:cs="Calibri"/>
                <w:color w:val="000000"/>
                <w:szCs w:val="22"/>
              </w:rPr>
              <w:t>42</w:t>
            </w:r>
          </w:p>
        </w:tc>
        <w:tc>
          <w:tcPr>
            <w:tcW w:w="501" w:type="pct"/>
            <w:shd w:val="clear" w:color="auto" w:fill="auto"/>
            <w:noWrap/>
            <w:vAlign w:val="bottom"/>
          </w:tcPr>
          <w:p>
            <w:pPr>
              <w:spacing w:before="0"/>
              <w:jc w:val="center"/>
              <w:rPr>
                <w:rFonts w:cs="Calibri"/>
                <w:color w:val="000000"/>
                <w:szCs w:val="22"/>
              </w:rPr>
            </w:pPr>
            <w:r>
              <w:rPr>
                <w:rFonts w:cs="Calibri"/>
                <w:color w:val="000000"/>
                <w:szCs w:val="22"/>
              </w:rPr>
              <w:t>13</w:t>
            </w:r>
          </w:p>
        </w:tc>
        <w:tc>
          <w:tcPr>
            <w:tcW w:w="428" w:type="pct"/>
            <w:shd w:val="clear" w:color="auto" w:fill="auto"/>
            <w:noWrap/>
            <w:vAlign w:val="bottom"/>
          </w:tcPr>
          <w:p>
            <w:pPr>
              <w:spacing w:before="0"/>
              <w:jc w:val="center"/>
              <w:rPr>
                <w:rFonts w:cs="Calibri"/>
                <w:color w:val="000000"/>
                <w:szCs w:val="22"/>
              </w:rPr>
            </w:pPr>
            <w:r>
              <w:rPr>
                <w:rFonts w:cs="Calibri"/>
                <w:color w:val="000000"/>
                <w:szCs w:val="22"/>
              </w:rPr>
              <w:t>3060</w:t>
            </w:r>
          </w:p>
        </w:tc>
        <w:tc>
          <w:tcPr>
            <w:tcW w:w="587" w:type="pct"/>
            <w:vMerge/>
            <w:vAlign w:val="center"/>
          </w:tcPr>
          <w:p>
            <w:pPr>
              <w:spacing w:before="0"/>
              <w:jc w:val="center"/>
              <w:rPr>
                <w:rFonts w:cs="Calibri"/>
                <w:color w:val="000000"/>
              </w:rPr>
            </w:pPr>
          </w:p>
        </w:tc>
        <w:tc>
          <w:tcPr>
            <w:tcW w:w="752" w:type="pct"/>
            <w:vMerge/>
            <w:shd w:val="clear" w:color="auto" w:fill="auto"/>
            <w:noWrap/>
            <w:vAlign w:val="center"/>
          </w:tcPr>
          <w:p>
            <w:pPr>
              <w:spacing w:before="0"/>
              <w:jc w:val="center"/>
              <w:rPr>
                <w:rFonts w:cs="Calibri"/>
                <w:color w:val="000000"/>
              </w:rPr>
            </w:pPr>
          </w:p>
        </w:tc>
      </w:tr>
      <w:tr>
        <w:trPr>
          <w:trHeight w:val="300"/>
          <w:jc w:val="center"/>
        </w:trPr>
        <w:tc>
          <w:tcPr>
            <w:tcW w:w="672" w:type="pct"/>
            <w:vMerge/>
            <w:shd w:val="clear" w:color="auto" w:fill="auto"/>
            <w:noWrap/>
            <w:vAlign w:val="center"/>
          </w:tcPr>
          <w:p>
            <w:pPr>
              <w:spacing w:before="0"/>
              <w:jc w:val="left"/>
              <w:rPr>
                <w:rFonts w:cs="Calibri"/>
                <w:color w:val="000000"/>
              </w:rPr>
            </w:pPr>
          </w:p>
        </w:tc>
        <w:tc>
          <w:tcPr>
            <w:tcW w:w="1008" w:type="pct"/>
            <w:shd w:val="clear" w:color="auto" w:fill="auto"/>
            <w:noWrap/>
            <w:vAlign w:val="bottom"/>
          </w:tcPr>
          <w:p>
            <w:pPr>
              <w:spacing w:before="0"/>
              <w:jc w:val="center"/>
              <w:rPr>
                <w:rFonts w:cs="Calibri"/>
                <w:color w:val="000000"/>
                <w:szCs w:val="22"/>
              </w:rPr>
            </w:pPr>
            <w:r>
              <w:rPr>
                <w:rFonts w:cs="Calibri"/>
                <w:color w:val="000000"/>
                <w:szCs w:val="22"/>
              </w:rPr>
              <w:t>Gouttière</w:t>
            </w:r>
          </w:p>
        </w:tc>
        <w:tc>
          <w:tcPr>
            <w:tcW w:w="550" w:type="pct"/>
            <w:shd w:val="clear" w:color="auto" w:fill="auto"/>
            <w:noWrap/>
            <w:vAlign w:val="bottom"/>
          </w:tcPr>
          <w:p>
            <w:pPr>
              <w:spacing w:before="0"/>
              <w:jc w:val="center"/>
              <w:rPr>
                <w:rFonts w:cs="Calibri"/>
                <w:color w:val="000000"/>
                <w:szCs w:val="22"/>
              </w:rPr>
            </w:pPr>
            <w:r>
              <w:rPr>
                <w:rFonts w:cs="Calibri"/>
                <w:color w:val="000000"/>
                <w:szCs w:val="22"/>
              </w:rPr>
              <w:t>4</w:t>
            </w:r>
          </w:p>
        </w:tc>
        <w:tc>
          <w:tcPr>
            <w:tcW w:w="501" w:type="pct"/>
            <w:shd w:val="clear" w:color="auto" w:fill="auto"/>
            <w:noWrap/>
            <w:vAlign w:val="bottom"/>
          </w:tcPr>
          <w:p>
            <w:pPr>
              <w:spacing w:before="0"/>
              <w:jc w:val="center"/>
              <w:rPr>
                <w:rFonts w:cs="Calibri"/>
                <w:color w:val="000000"/>
                <w:szCs w:val="22"/>
              </w:rPr>
            </w:pPr>
            <w:r>
              <w:rPr>
                <w:rFonts w:cs="Calibri"/>
                <w:color w:val="000000"/>
                <w:szCs w:val="22"/>
              </w:rPr>
              <w:t>0</w:t>
            </w:r>
          </w:p>
        </w:tc>
        <w:tc>
          <w:tcPr>
            <w:tcW w:w="501" w:type="pct"/>
            <w:shd w:val="clear" w:color="auto" w:fill="auto"/>
            <w:noWrap/>
            <w:vAlign w:val="bottom"/>
          </w:tcPr>
          <w:p>
            <w:pPr>
              <w:spacing w:before="0"/>
              <w:jc w:val="center"/>
              <w:rPr>
                <w:rFonts w:cs="Calibri"/>
                <w:color w:val="000000"/>
                <w:szCs w:val="22"/>
              </w:rPr>
            </w:pPr>
            <w:r>
              <w:rPr>
                <w:rFonts w:cs="Calibri"/>
                <w:color w:val="000000"/>
                <w:szCs w:val="22"/>
              </w:rPr>
              <w:t>4</w:t>
            </w:r>
          </w:p>
        </w:tc>
        <w:tc>
          <w:tcPr>
            <w:tcW w:w="428" w:type="pct"/>
            <w:shd w:val="clear" w:color="auto" w:fill="auto"/>
            <w:noWrap/>
            <w:vAlign w:val="bottom"/>
          </w:tcPr>
          <w:p>
            <w:pPr>
              <w:spacing w:before="0"/>
              <w:jc w:val="center"/>
              <w:rPr>
                <w:rFonts w:cs="Calibri"/>
                <w:color w:val="000000"/>
                <w:szCs w:val="22"/>
              </w:rPr>
            </w:pPr>
            <w:r>
              <w:rPr>
                <w:rFonts w:cs="Calibri"/>
                <w:color w:val="000000"/>
                <w:szCs w:val="22"/>
              </w:rPr>
              <w:t>305</w:t>
            </w:r>
          </w:p>
        </w:tc>
        <w:tc>
          <w:tcPr>
            <w:tcW w:w="587" w:type="pct"/>
            <w:vMerge/>
            <w:vAlign w:val="center"/>
          </w:tcPr>
          <w:p>
            <w:pPr>
              <w:spacing w:before="0"/>
              <w:jc w:val="center"/>
              <w:rPr>
                <w:rFonts w:cs="Calibri"/>
                <w:color w:val="000000"/>
              </w:rPr>
            </w:pPr>
          </w:p>
        </w:tc>
        <w:tc>
          <w:tcPr>
            <w:tcW w:w="752" w:type="pct"/>
            <w:vMerge/>
            <w:shd w:val="clear" w:color="auto" w:fill="auto"/>
            <w:noWrap/>
            <w:vAlign w:val="center"/>
          </w:tcPr>
          <w:p>
            <w:pPr>
              <w:spacing w:before="0"/>
              <w:jc w:val="center"/>
              <w:rPr>
                <w:rFonts w:cs="Calibri"/>
                <w:color w:val="000000"/>
              </w:rPr>
            </w:pPr>
          </w:p>
        </w:tc>
      </w:tr>
      <w:tr>
        <w:trPr>
          <w:trHeight w:val="300"/>
          <w:jc w:val="center"/>
        </w:trPr>
        <w:tc>
          <w:tcPr>
            <w:tcW w:w="672" w:type="pct"/>
            <w:vMerge/>
            <w:shd w:val="clear" w:color="auto" w:fill="auto"/>
            <w:noWrap/>
            <w:vAlign w:val="center"/>
          </w:tcPr>
          <w:p>
            <w:pPr>
              <w:spacing w:before="0"/>
              <w:jc w:val="left"/>
              <w:rPr>
                <w:rFonts w:cs="Calibri"/>
                <w:color w:val="000000"/>
              </w:rPr>
            </w:pPr>
          </w:p>
        </w:tc>
        <w:tc>
          <w:tcPr>
            <w:tcW w:w="1008" w:type="pct"/>
            <w:shd w:val="clear" w:color="auto" w:fill="auto"/>
            <w:noWrap/>
            <w:vAlign w:val="bottom"/>
          </w:tcPr>
          <w:p>
            <w:pPr>
              <w:spacing w:before="0"/>
              <w:jc w:val="center"/>
              <w:rPr>
                <w:rFonts w:cs="Calibri"/>
                <w:color w:val="000000"/>
                <w:szCs w:val="22"/>
              </w:rPr>
            </w:pPr>
            <w:r>
              <w:rPr>
                <w:rFonts w:cs="Calibri"/>
                <w:color w:val="000000"/>
                <w:szCs w:val="22"/>
              </w:rPr>
              <w:t>Autres</w:t>
            </w:r>
          </w:p>
        </w:tc>
        <w:tc>
          <w:tcPr>
            <w:tcW w:w="550" w:type="pct"/>
            <w:shd w:val="clear" w:color="auto" w:fill="auto"/>
            <w:noWrap/>
            <w:vAlign w:val="bottom"/>
          </w:tcPr>
          <w:p>
            <w:pPr>
              <w:spacing w:before="0"/>
              <w:jc w:val="center"/>
              <w:rPr>
                <w:rFonts w:cs="Calibri"/>
                <w:color w:val="000000"/>
                <w:szCs w:val="22"/>
              </w:rPr>
            </w:pPr>
            <w:r>
              <w:rPr>
                <w:rFonts w:cs="Calibri"/>
                <w:color w:val="000000"/>
                <w:szCs w:val="22"/>
              </w:rPr>
              <w:t>4</w:t>
            </w:r>
          </w:p>
        </w:tc>
        <w:tc>
          <w:tcPr>
            <w:tcW w:w="501" w:type="pct"/>
            <w:shd w:val="clear" w:color="auto" w:fill="auto"/>
            <w:noWrap/>
            <w:vAlign w:val="bottom"/>
          </w:tcPr>
          <w:p>
            <w:pPr>
              <w:spacing w:before="0"/>
              <w:jc w:val="center"/>
              <w:rPr>
                <w:rFonts w:cs="Calibri"/>
                <w:color w:val="000000"/>
                <w:szCs w:val="22"/>
              </w:rPr>
            </w:pPr>
            <w:r>
              <w:rPr>
                <w:rFonts w:cs="Calibri"/>
                <w:color w:val="000000"/>
                <w:szCs w:val="22"/>
              </w:rPr>
              <w:t>2</w:t>
            </w:r>
          </w:p>
        </w:tc>
        <w:tc>
          <w:tcPr>
            <w:tcW w:w="501" w:type="pct"/>
            <w:shd w:val="clear" w:color="auto" w:fill="auto"/>
            <w:noWrap/>
            <w:vAlign w:val="bottom"/>
          </w:tcPr>
          <w:p>
            <w:pPr>
              <w:spacing w:before="0"/>
              <w:jc w:val="center"/>
              <w:rPr>
                <w:rFonts w:cs="Calibri"/>
                <w:color w:val="000000"/>
                <w:szCs w:val="22"/>
              </w:rPr>
            </w:pPr>
            <w:r>
              <w:rPr>
                <w:rFonts w:cs="Calibri"/>
                <w:color w:val="000000"/>
                <w:szCs w:val="22"/>
              </w:rPr>
              <w:t>2</w:t>
            </w:r>
          </w:p>
        </w:tc>
        <w:tc>
          <w:tcPr>
            <w:tcW w:w="428" w:type="pct"/>
            <w:shd w:val="clear" w:color="auto" w:fill="auto"/>
            <w:noWrap/>
            <w:vAlign w:val="bottom"/>
          </w:tcPr>
          <w:p>
            <w:pPr>
              <w:spacing w:before="0"/>
              <w:jc w:val="center"/>
              <w:rPr>
                <w:rFonts w:cs="Calibri"/>
                <w:color w:val="000000"/>
                <w:szCs w:val="22"/>
              </w:rPr>
            </w:pPr>
            <w:r>
              <w:rPr>
                <w:rFonts w:cs="Calibri"/>
                <w:color w:val="000000"/>
                <w:szCs w:val="22"/>
              </w:rPr>
              <w:t>950</w:t>
            </w:r>
          </w:p>
        </w:tc>
        <w:tc>
          <w:tcPr>
            <w:tcW w:w="587" w:type="pct"/>
            <w:vMerge/>
            <w:vAlign w:val="center"/>
          </w:tcPr>
          <w:p>
            <w:pPr>
              <w:spacing w:before="0"/>
              <w:jc w:val="center"/>
              <w:rPr>
                <w:rFonts w:cs="Calibri"/>
                <w:color w:val="000000"/>
              </w:rPr>
            </w:pPr>
          </w:p>
        </w:tc>
        <w:tc>
          <w:tcPr>
            <w:tcW w:w="752" w:type="pct"/>
            <w:vMerge/>
            <w:shd w:val="clear" w:color="auto" w:fill="auto"/>
            <w:noWrap/>
            <w:vAlign w:val="center"/>
          </w:tcPr>
          <w:p>
            <w:pPr>
              <w:spacing w:before="0"/>
              <w:jc w:val="center"/>
              <w:rPr>
                <w:rFonts w:cs="Calibri"/>
                <w:color w:val="000000"/>
              </w:rPr>
            </w:pPr>
          </w:p>
        </w:tc>
      </w:tr>
      <w:tr>
        <w:trPr>
          <w:trHeight w:val="300"/>
          <w:jc w:val="center"/>
        </w:trPr>
        <w:tc>
          <w:tcPr>
            <w:tcW w:w="672" w:type="pct"/>
            <w:vMerge/>
            <w:shd w:val="clear" w:color="auto" w:fill="auto"/>
            <w:noWrap/>
            <w:vAlign w:val="center"/>
          </w:tcPr>
          <w:p>
            <w:pPr>
              <w:spacing w:before="0"/>
              <w:jc w:val="left"/>
              <w:rPr>
                <w:rFonts w:cs="Calibri"/>
                <w:color w:val="000000"/>
              </w:rPr>
            </w:pPr>
          </w:p>
        </w:tc>
        <w:tc>
          <w:tcPr>
            <w:tcW w:w="1008" w:type="pct"/>
            <w:shd w:val="clear" w:color="auto" w:fill="auto"/>
            <w:noWrap/>
            <w:vAlign w:val="bottom"/>
          </w:tcPr>
          <w:p>
            <w:pPr>
              <w:spacing w:before="0"/>
              <w:jc w:val="center"/>
              <w:rPr>
                <w:rFonts w:cs="Calibri"/>
                <w:color w:val="000000"/>
                <w:szCs w:val="22"/>
              </w:rPr>
            </w:pPr>
            <w:r>
              <w:rPr>
                <w:rFonts w:cs="Calibri"/>
                <w:color w:val="000000"/>
                <w:szCs w:val="22"/>
              </w:rPr>
              <w:t>Anomalie non identifiée</w:t>
            </w:r>
          </w:p>
        </w:tc>
        <w:tc>
          <w:tcPr>
            <w:tcW w:w="550" w:type="pct"/>
            <w:shd w:val="clear" w:color="auto" w:fill="auto"/>
            <w:noWrap/>
            <w:vAlign w:val="bottom"/>
          </w:tcPr>
          <w:p>
            <w:pPr>
              <w:spacing w:before="0"/>
              <w:jc w:val="center"/>
              <w:rPr>
                <w:rFonts w:cs="Calibri"/>
                <w:color w:val="000000"/>
                <w:szCs w:val="22"/>
              </w:rPr>
            </w:pPr>
            <w:r>
              <w:rPr>
                <w:rFonts w:cs="Calibri"/>
                <w:color w:val="000000"/>
                <w:szCs w:val="22"/>
              </w:rPr>
              <w:t>16</w:t>
            </w:r>
          </w:p>
        </w:tc>
        <w:tc>
          <w:tcPr>
            <w:tcW w:w="501" w:type="pct"/>
            <w:shd w:val="clear" w:color="auto" w:fill="auto"/>
            <w:noWrap/>
            <w:vAlign w:val="bottom"/>
          </w:tcPr>
          <w:p>
            <w:pPr>
              <w:spacing w:before="0"/>
              <w:jc w:val="center"/>
              <w:rPr>
                <w:rFonts w:cs="Calibri"/>
                <w:color w:val="000000"/>
                <w:szCs w:val="22"/>
              </w:rPr>
            </w:pPr>
            <w:r>
              <w:rPr>
                <w:rFonts w:cs="Calibri"/>
                <w:color w:val="000000"/>
                <w:szCs w:val="22"/>
              </w:rPr>
              <w:t>7</w:t>
            </w:r>
          </w:p>
        </w:tc>
        <w:tc>
          <w:tcPr>
            <w:tcW w:w="501" w:type="pct"/>
            <w:shd w:val="clear" w:color="auto" w:fill="auto"/>
            <w:noWrap/>
            <w:vAlign w:val="bottom"/>
          </w:tcPr>
          <w:p>
            <w:pPr>
              <w:spacing w:before="0"/>
              <w:jc w:val="center"/>
              <w:rPr>
                <w:rFonts w:cs="Calibri"/>
                <w:color w:val="000000"/>
                <w:szCs w:val="22"/>
              </w:rPr>
            </w:pPr>
            <w:r>
              <w:rPr>
                <w:rFonts w:cs="Calibri"/>
                <w:color w:val="000000"/>
                <w:szCs w:val="22"/>
              </w:rPr>
              <w:t>9</w:t>
            </w:r>
          </w:p>
        </w:tc>
        <w:tc>
          <w:tcPr>
            <w:tcW w:w="428" w:type="pct"/>
            <w:shd w:val="clear" w:color="auto" w:fill="auto"/>
            <w:noWrap/>
            <w:vAlign w:val="bottom"/>
          </w:tcPr>
          <w:p>
            <w:pPr>
              <w:spacing w:before="0"/>
              <w:jc w:val="center"/>
              <w:rPr>
                <w:rFonts w:cs="Calibri"/>
                <w:color w:val="000000"/>
                <w:szCs w:val="22"/>
              </w:rPr>
            </w:pPr>
            <w:r>
              <w:rPr>
                <w:rFonts w:cs="Calibri"/>
                <w:color w:val="000000"/>
                <w:szCs w:val="22"/>
              </w:rPr>
              <w:t>540</w:t>
            </w:r>
          </w:p>
        </w:tc>
        <w:tc>
          <w:tcPr>
            <w:tcW w:w="587" w:type="pct"/>
            <w:vMerge/>
            <w:vAlign w:val="center"/>
          </w:tcPr>
          <w:p>
            <w:pPr>
              <w:spacing w:before="0"/>
              <w:jc w:val="center"/>
              <w:rPr>
                <w:rFonts w:cs="Calibri"/>
                <w:color w:val="000000"/>
              </w:rPr>
            </w:pPr>
          </w:p>
        </w:tc>
        <w:tc>
          <w:tcPr>
            <w:tcW w:w="752" w:type="pct"/>
            <w:vMerge/>
            <w:shd w:val="clear" w:color="auto" w:fill="auto"/>
            <w:noWrap/>
            <w:vAlign w:val="center"/>
          </w:tcPr>
          <w:p>
            <w:pPr>
              <w:spacing w:before="0"/>
              <w:jc w:val="center"/>
              <w:rPr>
                <w:rFonts w:cs="Calibri"/>
                <w:color w:val="000000"/>
              </w:rPr>
            </w:pPr>
          </w:p>
        </w:tc>
      </w:tr>
      <w:tr>
        <w:trPr>
          <w:trHeight w:val="300"/>
          <w:jc w:val="center"/>
        </w:trPr>
        <w:tc>
          <w:tcPr>
            <w:tcW w:w="672" w:type="pct"/>
            <w:vMerge/>
            <w:shd w:val="clear" w:color="auto" w:fill="auto"/>
            <w:noWrap/>
            <w:vAlign w:val="center"/>
          </w:tcPr>
          <w:p>
            <w:pPr>
              <w:spacing w:before="0"/>
              <w:jc w:val="left"/>
              <w:rPr>
                <w:rFonts w:cs="Calibri"/>
                <w:color w:val="000000"/>
              </w:rPr>
            </w:pPr>
          </w:p>
        </w:tc>
        <w:tc>
          <w:tcPr>
            <w:tcW w:w="1008" w:type="pct"/>
            <w:shd w:val="clear" w:color="auto" w:fill="auto"/>
            <w:noWrap/>
            <w:vAlign w:val="bottom"/>
          </w:tcPr>
          <w:p>
            <w:pPr>
              <w:spacing w:before="0"/>
              <w:jc w:val="center"/>
              <w:rPr>
                <w:rFonts w:cs="Calibri"/>
                <w:b/>
                <w:color w:val="000000"/>
                <w:szCs w:val="22"/>
              </w:rPr>
            </w:pPr>
            <w:r>
              <w:rPr>
                <w:rFonts w:cs="Calibri"/>
                <w:b/>
                <w:color w:val="000000"/>
                <w:szCs w:val="22"/>
              </w:rPr>
              <w:t>TOTAL</w:t>
            </w:r>
          </w:p>
        </w:tc>
        <w:tc>
          <w:tcPr>
            <w:tcW w:w="550" w:type="pct"/>
            <w:shd w:val="clear" w:color="auto" w:fill="auto"/>
            <w:noWrap/>
            <w:vAlign w:val="bottom"/>
          </w:tcPr>
          <w:p>
            <w:pPr>
              <w:spacing w:before="0"/>
              <w:jc w:val="center"/>
              <w:rPr>
                <w:rFonts w:cs="Calibri"/>
                <w:b/>
                <w:color w:val="000000"/>
                <w:szCs w:val="22"/>
              </w:rPr>
            </w:pPr>
            <w:r>
              <w:rPr>
                <w:rFonts w:cs="Calibri"/>
                <w:b/>
                <w:color w:val="000000"/>
                <w:szCs w:val="22"/>
              </w:rPr>
              <w:t>85</w:t>
            </w:r>
          </w:p>
        </w:tc>
        <w:tc>
          <w:tcPr>
            <w:tcW w:w="501" w:type="pct"/>
            <w:shd w:val="clear" w:color="auto" w:fill="auto"/>
            <w:noWrap/>
            <w:vAlign w:val="bottom"/>
          </w:tcPr>
          <w:p>
            <w:pPr>
              <w:spacing w:before="0"/>
              <w:jc w:val="center"/>
              <w:rPr>
                <w:rFonts w:cs="Calibri"/>
                <w:b/>
                <w:color w:val="000000"/>
                <w:szCs w:val="22"/>
              </w:rPr>
            </w:pPr>
            <w:r>
              <w:rPr>
                <w:rFonts w:cs="Calibri"/>
                <w:b/>
                <w:color w:val="000000"/>
                <w:szCs w:val="22"/>
              </w:rPr>
              <w:t>56</w:t>
            </w:r>
          </w:p>
        </w:tc>
        <w:tc>
          <w:tcPr>
            <w:tcW w:w="501" w:type="pct"/>
            <w:shd w:val="clear" w:color="auto" w:fill="auto"/>
            <w:noWrap/>
            <w:vAlign w:val="bottom"/>
          </w:tcPr>
          <w:p>
            <w:pPr>
              <w:spacing w:before="0"/>
              <w:jc w:val="center"/>
              <w:rPr>
                <w:rFonts w:cs="Calibri"/>
                <w:b/>
                <w:color w:val="000000"/>
                <w:szCs w:val="22"/>
              </w:rPr>
            </w:pPr>
            <w:r>
              <w:rPr>
                <w:rFonts w:cs="Calibri"/>
                <w:b/>
                <w:color w:val="000000"/>
                <w:szCs w:val="22"/>
              </w:rPr>
              <w:t>29</w:t>
            </w:r>
          </w:p>
        </w:tc>
        <w:tc>
          <w:tcPr>
            <w:tcW w:w="428" w:type="pct"/>
            <w:shd w:val="clear" w:color="auto" w:fill="auto"/>
            <w:noWrap/>
            <w:vAlign w:val="bottom"/>
          </w:tcPr>
          <w:p>
            <w:pPr>
              <w:spacing w:before="0"/>
              <w:jc w:val="center"/>
              <w:rPr>
                <w:rFonts w:cs="Calibri"/>
                <w:b/>
                <w:color w:val="000000"/>
                <w:szCs w:val="22"/>
              </w:rPr>
            </w:pPr>
            <w:r>
              <w:rPr>
                <w:rFonts w:cs="Calibri"/>
                <w:b/>
                <w:color w:val="000000"/>
                <w:szCs w:val="22"/>
              </w:rPr>
              <w:t>4860</w:t>
            </w:r>
          </w:p>
        </w:tc>
        <w:tc>
          <w:tcPr>
            <w:tcW w:w="587" w:type="pct"/>
            <w:vMerge/>
            <w:vAlign w:val="center"/>
          </w:tcPr>
          <w:p>
            <w:pPr>
              <w:spacing w:before="0"/>
              <w:jc w:val="center"/>
              <w:rPr>
                <w:rFonts w:cs="Calibri"/>
                <w:color w:val="000000"/>
              </w:rPr>
            </w:pPr>
          </w:p>
        </w:tc>
        <w:tc>
          <w:tcPr>
            <w:tcW w:w="752" w:type="pct"/>
            <w:vMerge/>
            <w:shd w:val="clear" w:color="auto" w:fill="auto"/>
            <w:noWrap/>
            <w:vAlign w:val="center"/>
          </w:tcPr>
          <w:p>
            <w:pPr>
              <w:spacing w:before="0"/>
              <w:jc w:val="center"/>
              <w:rPr>
                <w:rFonts w:cs="Calibri"/>
                <w:color w:val="000000"/>
              </w:rPr>
            </w:pPr>
          </w:p>
        </w:tc>
      </w:tr>
      <w:tr>
        <w:trPr>
          <w:trHeight w:val="300"/>
          <w:jc w:val="center"/>
        </w:trPr>
        <w:tc>
          <w:tcPr>
            <w:tcW w:w="672" w:type="pct"/>
            <w:vMerge w:val="restart"/>
            <w:shd w:val="clear" w:color="auto" w:fill="auto"/>
            <w:noWrap/>
            <w:vAlign w:val="center"/>
          </w:tcPr>
          <w:p>
            <w:pPr>
              <w:jc w:val="left"/>
              <w:rPr>
                <w:rFonts w:cs="Calibri"/>
                <w:color w:val="000000"/>
              </w:rPr>
            </w:pPr>
            <w:r>
              <w:rPr>
                <w:rFonts w:cs="Calibri"/>
                <w:color w:val="000000"/>
              </w:rPr>
              <w:t>Total système</w:t>
            </w:r>
          </w:p>
        </w:tc>
        <w:tc>
          <w:tcPr>
            <w:tcW w:w="1008" w:type="pct"/>
            <w:shd w:val="clear" w:color="auto" w:fill="auto"/>
            <w:noWrap/>
            <w:vAlign w:val="bottom"/>
          </w:tcPr>
          <w:p>
            <w:pPr>
              <w:spacing w:before="0"/>
              <w:jc w:val="center"/>
              <w:rPr>
                <w:rFonts w:cs="Calibri"/>
                <w:color w:val="000000"/>
                <w:szCs w:val="22"/>
              </w:rPr>
            </w:pPr>
            <w:r>
              <w:rPr>
                <w:rFonts w:cs="Calibri"/>
                <w:color w:val="000000"/>
                <w:szCs w:val="22"/>
              </w:rPr>
              <w:t>Regard</w:t>
            </w:r>
          </w:p>
        </w:tc>
        <w:tc>
          <w:tcPr>
            <w:tcW w:w="550" w:type="pct"/>
            <w:shd w:val="clear" w:color="auto" w:fill="auto"/>
            <w:noWrap/>
            <w:vAlign w:val="bottom"/>
          </w:tcPr>
          <w:p>
            <w:pPr>
              <w:spacing w:before="0"/>
              <w:jc w:val="center"/>
              <w:rPr>
                <w:rFonts w:cs="Calibri"/>
                <w:color w:val="000000"/>
                <w:szCs w:val="22"/>
              </w:rPr>
            </w:pPr>
            <w:r>
              <w:rPr>
                <w:rFonts w:cs="Calibri"/>
                <w:color w:val="000000"/>
                <w:szCs w:val="22"/>
              </w:rPr>
              <w:t>27</w:t>
            </w:r>
          </w:p>
        </w:tc>
        <w:tc>
          <w:tcPr>
            <w:tcW w:w="501" w:type="pct"/>
            <w:shd w:val="clear" w:color="auto" w:fill="auto"/>
            <w:noWrap/>
            <w:vAlign w:val="bottom"/>
          </w:tcPr>
          <w:p>
            <w:pPr>
              <w:spacing w:before="0"/>
              <w:jc w:val="center"/>
              <w:rPr>
                <w:rFonts w:cs="Calibri"/>
                <w:color w:val="000000"/>
                <w:szCs w:val="22"/>
              </w:rPr>
            </w:pPr>
            <w:r>
              <w:rPr>
                <w:rFonts w:cs="Calibri"/>
                <w:color w:val="000000"/>
                <w:szCs w:val="22"/>
              </w:rPr>
              <w:t>21</w:t>
            </w:r>
          </w:p>
        </w:tc>
        <w:tc>
          <w:tcPr>
            <w:tcW w:w="501" w:type="pct"/>
            <w:shd w:val="clear" w:color="auto" w:fill="auto"/>
            <w:noWrap/>
            <w:vAlign w:val="bottom"/>
          </w:tcPr>
          <w:p>
            <w:pPr>
              <w:spacing w:before="0"/>
              <w:jc w:val="center"/>
              <w:rPr>
                <w:rFonts w:cs="Calibri"/>
                <w:color w:val="000000"/>
                <w:szCs w:val="22"/>
              </w:rPr>
            </w:pPr>
            <w:r>
              <w:rPr>
                <w:rFonts w:cs="Calibri"/>
                <w:color w:val="000000"/>
                <w:szCs w:val="22"/>
              </w:rPr>
              <w:t>6</w:t>
            </w:r>
          </w:p>
        </w:tc>
        <w:tc>
          <w:tcPr>
            <w:tcW w:w="428" w:type="pct"/>
            <w:shd w:val="clear" w:color="auto" w:fill="auto"/>
            <w:noWrap/>
            <w:vAlign w:val="bottom"/>
          </w:tcPr>
          <w:p>
            <w:pPr>
              <w:spacing w:before="0"/>
              <w:jc w:val="center"/>
              <w:rPr>
                <w:rFonts w:cs="Calibri"/>
                <w:color w:val="000000"/>
                <w:szCs w:val="22"/>
              </w:rPr>
            </w:pPr>
            <w:r>
              <w:rPr>
                <w:rFonts w:cs="Calibri"/>
                <w:color w:val="000000"/>
                <w:szCs w:val="22"/>
              </w:rPr>
              <w:t>2235</w:t>
            </w:r>
          </w:p>
        </w:tc>
        <w:tc>
          <w:tcPr>
            <w:tcW w:w="587" w:type="pct"/>
            <w:vMerge w:val="restart"/>
            <w:vAlign w:val="center"/>
          </w:tcPr>
          <w:p>
            <w:pPr>
              <w:spacing w:before="0"/>
              <w:jc w:val="center"/>
              <w:rPr>
                <w:rFonts w:cs="Calibri"/>
                <w:color w:val="000000"/>
                <w:szCs w:val="22"/>
              </w:rPr>
            </w:pPr>
            <w:r>
              <w:rPr>
                <w:rFonts w:cs="Calibri"/>
                <w:color w:val="000000"/>
                <w:szCs w:val="22"/>
              </w:rPr>
              <w:t>14 970</w:t>
            </w:r>
          </w:p>
        </w:tc>
        <w:tc>
          <w:tcPr>
            <w:tcW w:w="752" w:type="pct"/>
            <w:vMerge w:val="restart"/>
            <w:shd w:val="clear" w:color="auto" w:fill="auto"/>
            <w:noWrap/>
            <w:vAlign w:val="center"/>
          </w:tcPr>
          <w:p>
            <w:pPr>
              <w:spacing w:before="0"/>
              <w:jc w:val="center"/>
              <w:rPr>
                <w:rFonts w:cs="Calibri"/>
                <w:color w:val="000000"/>
                <w:szCs w:val="22"/>
              </w:rPr>
            </w:pPr>
            <w:r>
              <w:rPr>
                <w:rFonts w:cs="Calibri"/>
                <w:color w:val="000000"/>
                <w:szCs w:val="22"/>
              </w:rPr>
              <w:t>18 655</w:t>
            </w:r>
          </w:p>
        </w:tc>
      </w:tr>
      <w:tr>
        <w:trPr>
          <w:trHeight w:val="300"/>
          <w:jc w:val="center"/>
        </w:trPr>
        <w:tc>
          <w:tcPr>
            <w:tcW w:w="672" w:type="pct"/>
            <w:vMerge/>
            <w:shd w:val="clear" w:color="auto" w:fill="auto"/>
            <w:noWrap/>
            <w:vAlign w:val="center"/>
          </w:tcPr>
          <w:p>
            <w:pPr>
              <w:jc w:val="left"/>
              <w:rPr>
                <w:rFonts w:cs="Calibri"/>
                <w:color w:val="000000"/>
              </w:rPr>
            </w:pPr>
          </w:p>
        </w:tc>
        <w:tc>
          <w:tcPr>
            <w:tcW w:w="1008" w:type="pct"/>
            <w:shd w:val="clear" w:color="auto" w:fill="auto"/>
            <w:noWrap/>
            <w:vAlign w:val="bottom"/>
          </w:tcPr>
          <w:p>
            <w:pPr>
              <w:spacing w:before="0"/>
              <w:jc w:val="center"/>
              <w:rPr>
                <w:rFonts w:cs="Calibri"/>
                <w:color w:val="000000"/>
                <w:szCs w:val="22"/>
              </w:rPr>
            </w:pPr>
            <w:r>
              <w:rPr>
                <w:rFonts w:cs="Calibri"/>
                <w:color w:val="000000"/>
                <w:szCs w:val="22"/>
              </w:rPr>
              <w:t>Boite de branchement</w:t>
            </w:r>
          </w:p>
        </w:tc>
        <w:tc>
          <w:tcPr>
            <w:tcW w:w="550" w:type="pct"/>
            <w:shd w:val="clear" w:color="auto" w:fill="auto"/>
            <w:noWrap/>
            <w:vAlign w:val="bottom"/>
          </w:tcPr>
          <w:p>
            <w:pPr>
              <w:spacing w:before="0"/>
              <w:jc w:val="center"/>
              <w:rPr>
                <w:rFonts w:cs="Calibri"/>
                <w:color w:val="000000"/>
                <w:szCs w:val="22"/>
              </w:rPr>
            </w:pPr>
            <w:r>
              <w:rPr>
                <w:rFonts w:cs="Calibri"/>
                <w:color w:val="000000"/>
                <w:szCs w:val="22"/>
              </w:rPr>
              <w:t>142</w:t>
            </w:r>
          </w:p>
        </w:tc>
        <w:tc>
          <w:tcPr>
            <w:tcW w:w="501" w:type="pct"/>
            <w:shd w:val="clear" w:color="auto" w:fill="auto"/>
            <w:noWrap/>
            <w:vAlign w:val="bottom"/>
          </w:tcPr>
          <w:p>
            <w:pPr>
              <w:spacing w:before="0"/>
              <w:jc w:val="center"/>
              <w:rPr>
                <w:rFonts w:cs="Calibri"/>
                <w:color w:val="000000"/>
                <w:szCs w:val="22"/>
              </w:rPr>
            </w:pPr>
            <w:r>
              <w:rPr>
                <w:rFonts w:cs="Calibri"/>
                <w:color w:val="000000"/>
                <w:szCs w:val="22"/>
              </w:rPr>
              <w:t>106</w:t>
            </w:r>
          </w:p>
        </w:tc>
        <w:tc>
          <w:tcPr>
            <w:tcW w:w="501" w:type="pct"/>
            <w:shd w:val="clear" w:color="auto" w:fill="auto"/>
            <w:noWrap/>
            <w:vAlign w:val="bottom"/>
          </w:tcPr>
          <w:p>
            <w:pPr>
              <w:spacing w:before="0"/>
              <w:jc w:val="center"/>
              <w:rPr>
                <w:rFonts w:cs="Calibri"/>
                <w:color w:val="000000"/>
                <w:szCs w:val="22"/>
              </w:rPr>
            </w:pPr>
            <w:r>
              <w:rPr>
                <w:rFonts w:cs="Calibri"/>
                <w:color w:val="000000"/>
                <w:szCs w:val="22"/>
              </w:rPr>
              <w:t>36</w:t>
            </w:r>
          </w:p>
        </w:tc>
        <w:tc>
          <w:tcPr>
            <w:tcW w:w="428" w:type="pct"/>
            <w:shd w:val="clear" w:color="auto" w:fill="auto"/>
            <w:noWrap/>
            <w:vAlign w:val="bottom"/>
          </w:tcPr>
          <w:p>
            <w:pPr>
              <w:spacing w:before="0"/>
              <w:jc w:val="center"/>
              <w:rPr>
                <w:rFonts w:cs="Calibri"/>
                <w:color w:val="000000"/>
                <w:szCs w:val="22"/>
              </w:rPr>
            </w:pPr>
            <w:r>
              <w:rPr>
                <w:rFonts w:cs="Calibri"/>
                <w:color w:val="000000"/>
                <w:szCs w:val="22"/>
              </w:rPr>
              <w:t>6925</w:t>
            </w:r>
          </w:p>
        </w:tc>
        <w:tc>
          <w:tcPr>
            <w:tcW w:w="587" w:type="pct"/>
            <w:vMerge/>
            <w:vAlign w:val="center"/>
          </w:tcPr>
          <w:p>
            <w:pPr>
              <w:spacing w:before="0"/>
              <w:jc w:val="center"/>
              <w:rPr>
                <w:rFonts w:cs="Calibri"/>
                <w:color w:val="000000"/>
                <w:szCs w:val="22"/>
              </w:rPr>
            </w:pPr>
          </w:p>
        </w:tc>
        <w:tc>
          <w:tcPr>
            <w:tcW w:w="752" w:type="pct"/>
            <w:vMerge/>
            <w:shd w:val="clear" w:color="auto" w:fill="auto"/>
            <w:noWrap/>
            <w:vAlign w:val="bottom"/>
          </w:tcPr>
          <w:p>
            <w:pPr>
              <w:spacing w:before="0"/>
              <w:jc w:val="center"/>
              <w:rPr>
                <w:rFonts w:cs="Calibri"/>
                <w:color w:val="000000"/>
                <w:szCs w:val="22"/>
              </w:rPr>
            </w:pPr>
          </w:p>
        </w:tc>
      </w:tr>
      <w:tr>
        <w:trPr>
          <w:trHeight w:val="300"/>
          <w:jc w:val="center"/>
        </w:trPr>
        <w:tc>
          <w:tcPr>
            <w:tcW w:w="672" w:type="pct"/>
            <w:vMerge/>
            <w:shd w:val="clear" w:color="auto" w:fill="auto"/>
            <w:noWrap/>
            <w:vAlign w:val="center"/>
          </w:tcPr>
          <w:p>
            <w:pPr>
              <w:jc w:val="left"/>
              <w:rPr>
                <w:rFonts w:cs="Calibri"/>
                <w:color w:val="000000"/>
              </w:rPr>
            </w:pPr>
          </w:p>
        </w:tc>
        <w:tc>
          <w:tcPr>
            <w:tcW w:w="1008" w:type="pct"/>
            <w:shd w:val="clear" w:color="auto" w:fill="auto"/>
            <w:noWrap/>
            <w:vAlign w:val="bottom"/>
          </w:tcPr>
          <w:p>
            <w:pPr>
              <w:spacing w:before="0"/>
              <w:jc w:val="center"/>
              <w:rPr>
                <w:rFonts w:cs="Calibri"/>
                <w:color w:val="000000"/>
                <w:szCs w:val="22"/>
              </w:rPr>
            </w:pPr>
            <w:r>
              <w:rPr>
                <w:rFonts w:cs="Calibri"/>
                <w:color w:val="000000"/>
                <w:szCs w:val="22"/>
              </w:rPr>
              <w:t>Gouttière</w:t>
            </w:r>
          </w:p>
        </w:tc>
        <w:tc>
          <w:tcPr>
            <w:tcW w:w="550" w:type="pct"/>
            <w:shd w:val="clear" w:color="auto" w:fill="auto"/>
            <w:noWrap/>
            <w:vAlign w:val="bottom"/>
          </w:tcPr>
          <w:p>
            <w:pPr>
              <w:spacing w:before="0"/>
              <w:jc w:val="center"/>
              <w:rPr>
                <w:rFonts w:cs="Calibri"/>
                <w:color w:val="000000"/>
                <w:szCs w:val="22"/>
              </w:rPr>
            </w:pPr>
            <w:r>
              <w:rPr>
                <w:rFonts w:cs="Calibri"/>
                <w:color w:val="000000"/>
                <w:szCs w:val="22"/>
              </w:rPr>
              <w:t>18</w:t>
            </w:r>
          </w:p>
        </w:tc>
        <w:tc>
          <w:tcPr>
            <w:tcW w:w="501" w:type="pct"/>
            <w:shd w:val="clear" w:color="auto" w:fill="auto"/>
            <w:noWrap/>
            <w:vAlign w:val="bottom"/>
          </w:tcPr>
          <w:p>
            <w:pPr>
              <w:spacing w:before="0"/>
              <w:jc w:val="center"/>
              <w:rPr>
                <w:rFonts w:cs="Calibri"/>
                <w:color w:val="000000"/>
                <w:szCs w:val="22"/>
              </w:rPr>
            </w:pPr>
            <w:r>
              <w:rPr>
                <w:rFonts w:cs="Calibri"/>
                <w:color w:val="000000"/>
                <w:szCs w:val="22"/>
              </w:rPr>
              <w:t>0</w:t>
            </w:r>
          </w:p>
        </w:tc>
        <w:tc>
          <w:tcPr>
            <w:tcW w:w="501" w:type="pct"/>
            <w:shd w:val="clear" w:color="auto" w:fill="auto"/>
            <w:noWrap/>
            <w:vAlign w:val="bottom"/>
          </w:tcPr>
          <w:p>
            <w:pPr>
              <w:spacing w:before="0"/>
              <w:jc w:val="center"/>
              <w:rPr>
                <w:rFonts w:cs="Calibri"/>
                <w:color w:val="000000"/>
                <w:szCs w:val="22"/>
              </w:rPr>
            </w:pPr>
            <w:r>
              <w:rPr>
                <w:rFonts w:cs="Calibri"/>
                <w:color w:val="000000"/>
                <w:szCs w:val="22"/>
              </w:rPr>
              <w:t>18</w:t>
            </w:r>
          </w:p>
        </w:tc>
        <w:tc>
          <w:tcPr>
            <w:tcW w:w="428" w:type="pct"/>
            <w:shd w:val="clear" w:color="auto" w:fill="auto"/>
            <w:noWrap/>
            <w:vAlign w:val="bottom"/>
          </w:tcPr>
          <w:p>
            <w:pPr>
              <w:spacing w:before="0"/>
              <w:jc w:val="center"/>
              <w:rPr>
                <w:rFonts w:cs="Calibri"/>
                <w:color w:val="000000"/>
                <w:szCs w:val="22"/>
              </w:rPr>
            </w:pPr>
            <w:r>
              <w:rPr>
                <w:rFonts w:cs="Calibri"/>
                <w:color w:val="000000"/>
                <w:szCs w:val="22"/>
              </w:rPr>
              <w:t>1155</w:t>
            </w:r>
          </w:p>
        </w:tc>
        <w:tc>
          <w:tcPr>
            <w:tcW w:w="587" w:type="pct"/>
            <w:vMerge/>
            <w:vAlign w:val="center"/>
          </w:tcPr>
          <w:p>
            <w:pPr>
              <w:spacing w:before="0"/>
              <w:jc w:val="center"/>
              <w:rPr>
                <w:rFonts w:cs="Calibri"/>
                <w:color w:val="000000"/>
                <w:szCs w:val="22"/>
              </w:rPr>
            </w:pPr>
          </w:p>
        </w:tc>
        <w:tc>
          <w:tcPr>
            <w:tcW w:w="752" w:type="pct"/>
            <w:vMerge/>
            <w:shd w:val="clear" w:color="auto" w:fill="auto"/>
            <w:noWrap/>
            <w:vAlign w:val="bottom"/>
          </w:tcPr>
          <w:p>
            <w:pPr>
              <w:spacing w:before="0"/>
              <w:jc w:val="center"/>
              <w:rPr>
                <w:rFonts w:cs="Calibri"/>
                <w:color w:val="000000"/>
                <w:szCs w:val="22"/>
              </w:rPr>
            </w:pPr>
          </w:p>
        </w:tc>
      </w:tr>
      <w:tr>
        <w:trPr>
          <w:trHeight w:val="300"/>
          <w:jc w:val="center"/>
        </w:trPr>
        <w:tc>
          <w:tcPr>
            <w:tcW w:w="672" w:type="pct"/>
            <w:vMerge/>
            <w:shd w:val="clear" w:color="auto" w:fill="auto"/>
            <w:noWrap/>
            <w:vAlign w:val="center"/>
          </w:tcPr>
          <w:p>
            <w:pPr>
              <w:jc w:val="left"/>
              <w:rPr>
                <w:rFonts w:cs="Calibri"/>
                <w:color w:val="000000"/>
              </w:rPr>
            </w:pPr>
          </w:p>
        </w:tc>
        <w:tc>
          <w:tcPr>
            <w:tcW w:w="1008" w:type="pct"/>
            <w:shd w:val="clear" w:color="auto" w:fill="auto"/>
            <w:noWrap/>
            <w:vAlign w:val="bottom"/>
          </w:tcPr>
          <w:p>
            <w:pPr>
              <w:spacing w:before="0"/>
              <w:jc w:val="center"/>
              <w:rPr>
                <w:rFonts w:cs="Calibri"/>
                <w:color w:val="000000"/>
                <w:szCs w:val="22"/>
              </w:rPr>
            </w:pPr>
            <w:r>
              <w:rPr>
                <w:rFonts w:cs="Calibri"/>
                <w:color w:val="000000"/>
                <w:szCs w:val="22"/>
              </w:rPr>
              <w:t>Avaloir</w:t>
            </w:r>
          </w:p>
        </w:tc>
        <w:tc>
          <w:tcPr>
            <w:tcW w:w="550" w:type="pct"/>
            <w:shd w:val="clear" w:color="auto" w:fill="auto"/>
            <w:noWrap/>
            <w:vAlign w:val="bottom"/>
          </w:tcPr>
          <w:p>
            <w:pPr>
              <w:spacing w:before="0"/>
              <w:jc w:val="center"/>
              <w:rPr>
                <w:rFonts w:cs="Calibri"/>
                <w:color w:val="000000"/>
                <w:szCs w:val="22"/>
              </w:rPr>
            </w:pPr>
            <w:r>
              <w:rPr>
                <w:rFonts w:cs="Calibri"/>
                <w:color w:val="000000"/>
                <w:szCs w:val="22"/>
              </w:rPr>
              <w:t>4</w:t>
            </w:r>
          </w:p>
        </w:tc>
        <w:tc>
          <w:tcPr>
            <w:tcW w:w="501" w:type="pct"/>
            <w:shd w:val="clear" w:color="auto" w:fill="auto"/>
            <w:noWrap/>
            <w:vAlign w:val="bottom"/>
          </w:tcPr>
          <w:p>
            <w:pPr>
              <w:spacing w:before="0"/>
              <w:jc w:val="center"/>
              <w:rPr>
                <w:rFonts w:cs="Calibri"/>
                <w:color w:val="000000"/>
                <w:szCs w:val="22"/>
              </w:rPr>
            </w:pPr>
            <w:r>
              <w:rPr>
                <w:rFonts w:cs="Calibri"/>
                <w:color w:val="000000"/>
                <w:szCs w:val="22"/>
              </w:rPr>
              <w:t>3</w:t>
            </w:r>
          </w:p>
        </w:tc>
        <w:tc>
          <w:tcPr>
            <w:tcW w:w="501" w:type="pct"/>
            <w:shd w:val="clear" w:color="auto" w:fill="auto"/>
            <w:noWrap/>
            <w:vAlign w:val="bottom"/>
          </w:tcPr>
          <w:p>
            <w:pPr>
              <w:spacing w:before="0"/>
              <w:jc w:val="center"/>
              <w:rPr>
                <w:rFonts w:cs="Calibri"/>
                <w:color w:val="000000"/>
                <w:szCs w:val="22"/>
              </w:rPr>
            </w:pPr>
            <w:r>
              <w:rPr>
                <w:rFonts w:cs="Calibri"/>
                <w:color w:val="000000"/>
                <w:szCs w:val="22"/>
              </w:rPr>
              <w:t>1</w:t>
            </w:r>
          </w:p>
        </w:tc>
        <w:tc>
          <w:tcPr>
            <w:tcW w:w="428" w:type="pct"/>
            <w:shd w:val="clear" w:color="auto" w:fill="auto"/>
            <w:noWrap/>
            <w:vAlign w:val="bottom"/>
          </w:tcPr>
          <w:p>
            <w:pPr>
              <w:spacing w:before="0"/>
              <w:jc w:val="center"/>
              <w:rPr>
                <w:rFonts w:cs="Calibri"/>
                <w:color w:val="000000"/>
                <w:szCs w:val="22"/>
              </w:rPr>
            </w:pPr>
            <w:r>
              <w:rPr>
                <w:rFonts w:cs="Calibri"/>
                <w:color w:val="000000"/>
                <w:szCs w:val="22"/>
              </w:rPr>
              <w:t>1970</w:t>
            </w:r>
          </w:p>
        </w:tc>
        <w:tc>
          <w:tcPr>
            <w:tcW w:w="587" w:type="pct"/>
            <w:vMerge/>
            <w:vAlign w:val="center"/>
          </w:tcPr>
          <w:p>
            <w:pPr>
              <w:spacing w:before="0"/>
              <w:jc w:val="center"/>
              <w:rPr>
                <w:rFonts w:cs="Calibri"/>
                <w:color w:val="000000"/>
                <w:szCs w:val="22"/>
              </w:rPr>
            </w:pPr>
          </w:p>
        </w:tc>
        <w:tc>
          <w:tcPr>
            <w:tcW w:w="752" w:type="pct"/>
            <w:vMerge/>
            <w:shd w:val="clear" w:color="auto" w:fill="auto"/>
            <w:noWrap/>
            <w:vAlign w:val="bottom"/>
          </w:tcPr>
          <w:p>
            <w:pPr>
              <w:spacing w:before="0"/>
              <w:jc w:val="center"/>
              <w:rPr>
                <w:rFonts w:cs="Calibri"/>
                <w:color w:val="000000"/>
                <w:szCs w:val="22"/>
              </w:rPr>
            </w:pPr>
          </w:p>
        </w:tc>
      </w:tr>
      <w:tr>
        <w:trPr>
          <w:trHeight w:val="300"/>
          <w:jc w:val="center"/>
        </w:trPr>
        <w:tc>
          <w:tcPr>
            <w:tcW w:w="672" w:type="pct"/>
            <w:vMerge/>
            <w:shd w:val="clear" w:color="auto" w:fill="auto"/>
            <w:noWrap/>
            <w:vAlign w:val="center"/>
          </w:tcPr>
          <w:p>
            <w:pPr>
              <w:jc w:val="left"/>
              <w:rPr>
                <w:rFonts w:cs="Calibri"/>
                <w:color w:val="000000"/>
              </w:rPr>
            </w:pPr>
          </w:p>
        </w:tc>
        <w:tc>
          <w:tcPr>
            <w:tcW w:w="1008" w:type="pct"/>
            <w:shd w:val="clear" w:color="auto" w:fill="auto"/>
            <w:noWrap/>
            <w:vAlign w:val="bottom"/>
          </w:tcPr>
          <w:p>
            <w:pPr>
              <w:spacing w:before="0"/>
              <w:jc w:val="center"/>
              <w:rPr>
                <w:rFonts w:cs="Calibri"/>
                <w:color w:val="000000"/>
                <w:szCs w:val="22"/>
              </w:rPr>
            </w:pPr>
            <w:r>
              <w:rPr>
                <w:rFonts w:cs="Calibri"/>
                <w:color w:val="000000"/>
                <w:szCs w:val="22"/>
              </w:rPr>
              <w:t>Autres</w:t>
            </w:r>
          </w:p>
        </w:tc>
        <w:tc>
          <w:tcPr>
            <w:tcW w:w="550" w:type="pct"/>
            <w:shd w:val="clear" w:color="auto" w:fill="auto"/>
            <w:noWrap/>
            <w:vAlign w:val="bottom"/>
          </w:tcPr>
          <w:p>
            <w:pPr>
              <w:spacing w:before="0"/>
              <w:jc w:val="center"/>
              <w:rPr>
                <w:rFonts w:cs="Calibri"/>
                <w:color w:val="000000"/>
                <w:szCs w:val="22"/>
              </w:rPr>
            </w:pPr>
            <w:r>
              <w:rPr>
                <w:rFonts w:cs="Calibri"/>
                <w:color w:val="000000"/>
                <w:szCs w:val="22"/>
              </w:rPr>
              <w:t>10</w:t>
            </w:r>
          </w:p>
        </w:tc>
        <w:tc>
          <w:tcPr>
            <w:tcW w:w="501" w:type="pct"/>
            <w:shd w:val="clear" w:color="auto" w:fill="auto"/>
            <w:noWrap/>
            <w:vAlign w:val="bottom"/>
          </w:tcPr>
          <w:p>
            <w:pPr>
              <w:spacing w:before="0"/>
              <w:jc w:val="center"/>
              <w:rPr>
                <w:rFonts w:cs="Calibri"/>
                <w:color w:val="000000"/>
                <w:szCs w:val="22"/>
              </w:rPr>
            </w:pPr>
            <w:r>
              <w:rPr>
                <w:rFonts w:cs="Calibri"/>
                <w:color w:val="000000"/>
                <w:szCs w:val="22"/>
              </w:rPr>
              <w:t>6</w:t>
            </w:r>
          </w:p>
        </w:tc>
        <w:tc>
          <w:tcPr>
            <w:tcW w:w="501" w:type="pct"/>
            <w:shd w:val="clear" w:color="auto" w:fill="auto"/>
            <w:noWrap/>
            <w:vAlign w:val="bottom"/>
          </w:tcPr>
          <w:p>
            <w:pPr>
              <w:spacing w:before="0"/>
              <w:jc w:val="center"/>
              <w:rPr>
                <w:rFonts w:cs="Calibri"/>
                <w:color w:val="000000"/>
                <w:szCs w:val="22"/>
              </w:rPr>
            </w:pPr>
            <w:r>
              <w:rPr>
                <w:rFonts w:cs="Calibri"/>
                <w:color w:val="000000"/>
                <w:szCs w:val="22"/>
              </w:rPr>
              <w:t>4</w:t>
            </w:r>
          </w:p>
        </w:tc>
        <w:tc>
          <w:tcPr>
            <w:tcW w:w="428" w:type="pct"/>
            <w:shd w:val="clear" w:color="auto" w:fill="auto"/>
            <w:noWrap/>
            <w:vAlign w:val="bottom"/>
          </w:tcPr>
          <w:p>
            <w:pPr>
              <w:spacing w:before="0"/>
              <w:jc w:val="center"/>
              <w:rPr>
                <w:rFonts w:cs="Calibri"/>
                <w:color w:val="000000"/>
                <w:szCs w:val="22"/>
              </w:rPr>
            </w:pPr>
            <w:r>
              <w:rPr>
                <w:rFonts w:cs="Calibri"/>
                <w:color w:val="000000"/>
                <w:szCs w:val="22"/>
              </w:rPr>
              <w:t>1555</w:t>
            </w:r>
          </w:p>
        </w:tc>
        <w:tc>
          <w:tcPr>
            <w:tcW w:w="587" w:type="pct"/>
            <w:vMerge/>
            <w:vAlign w:val="center"/>
          </w:tcPr>
          <w:p>
            <w:pPr>
              <w:spacing w:before="0"/>
              <w:jc w:val="center"/>
              <w:rPr>
                <w:rFonts w:cs="Calibri"/>
                <w:color w:val="000000"/>
                <w:szCs w:val="22"/>
              </w:rPr>
            </w:pPr>
          </w:p>
        </w:tc>
        <w:tc>
          <w:tcPr>
            <w:tcW w:w="752" w:type="pct"/>
            <w:vMerge/>
            <w:shd w:val="clear" w:color="auto" w:fill="auto"/>
            <w:noWrap/>
            <w:vAlign w:val="bottom"/>
          </w:tcPr>
          <w:p>
            <w:pPr>
              <w:spacing w:before="0"/>
              <w:jc w:val="center"/>
              <w:rPr>
                <w:rFonts w:cs="Calibri"/>
                <w:color w:val="000000"/>
                <w:szCs w:val="22"/>
              </w:rPr>
            </w:pPr>
          </w:p>
        </w:tc>
      </w:tr>
      <w:tr>
        <w:trPr>
          <w:trHeight w:val="300"/>
          <w:jc w:val="center"/>
        </w:trPr>
        <w:tc>
          <w:tcPr>
            <w:tcW w:w="672" w:type="pct"/>
            <w:vMerge/>
            <w:shd w:val="clear" w:color="auto" w:fill="auto"/>
            <w:noWrap/>
            <w:vAlign w:val="center"/>
          </w:tcPr>
          <w:p>
            <w:pPr>
              <w:jc w:val="left"/>
              <w:rPr>
                <w:rFonts w:cs="Calibri"/>
                <w:color w:val="000000"/>
              </w:rPr>
            </w:pPr>
          </w:p>
        </w:tc>
        <w:tc>
          <w:tcPr>
            <w:tcW w:w="1008" w:type="pct"/>
            <w:shd w:val="clear" w:color="auto" w:fill="auto"/>
            <w:noWrap/>
            <w:vAlign w:val="bottom"/>
          </w:tcPr>
          <w:p>
            <w:pPr>
              <w:spacing w:before="0"/>
              <w:jc w:val="center"/>
              <w:rPr>
                <w:rFonts w:cs="Calibri"/>
                <w:color w:val="000000"/>
                <w:szCs w:val="22"/>
              </w:rPr>
            </w:pPr>
            <w:r>
              <w:rPr>
                <w:rFonts w:cs="Calibri"/>
                <w:color w:val="000000"/>
                <w:szCs w:val="22"/>
              </w:rPr>
              <w:t>Anomalie non identifiée</w:t>
            </w:r>
          </w:p>
        </w:tc>
        <w:tc>
          <w:tcPr>
            <w:tcW w:w="550" w:type="pct"/>
            <w:shd w:val="clear" w:color="auto" w:fill="auto"/>
            <w:noWrap/>
            <w:vAlign w:val="bottom"/>
          </w:tcPr>
          <w:p>
            <w:pPr>
              <w:spacing w:before="0"/>
              <w:jc w:val="center"/>
              <w:rPr>
                <w:rFonts w:cs="Calibri"/>
                <w:color w:val="000000"/>
                <w:szCs w:val="22"/>
              </w:rPr>
            </w:pPr>
            <w:r>
              <w:rPr>
                <w:rFonts w:cs="Calibri"/>
                <w:color w:val="000000"/>
                <w:szCs w:val="22"/>
              </w:rPr>
              <w:t>35</w:t>
            </w:r>
          </w:p>
        </w:tc>
        <w:tc>
          <w:tcPr>
            <w:tcW w:w="501" w:type="pct"/>
            <w:shd w:val="clear" w:color="auto" w:fill="auto"/>
            <w:noWrap/>
            <w:vAlign w:val="bottom"/>
          </w:tcPr>
          <w:p>
            <w:pPr>
              <w:spacing w:before="0"/>
              <w:jc w:val="center"/>
              <w:rPr>
                <w:rFonts w:cs="Calibri"/>
                <w:color w:val="000000"/>
                <w:szCs w:val="22"/>
              </w:rPr>
            </w:pPr>
            <w:r>
              <w:rPr>
                <w:rFonts w:cs="Calibri"/>
                <w:color w:val="000000"/>
                <w:szCs w:val="22"/>
              </w:rPr>
              <w:t>14</w:t>
            </w:r>
          </w:p>
        </w:tc>
        <w:tc>
          <w:tcPr>
            <w:tcW w:w="501" w:type="pct"/>
            <w:shd w:val="clear" w:color="auto" w:fill="auto"/>
            <w:noWrap/>
            <w:vAlign w:val="bottom"/>
          </w:tcPr>
          <w:p>
            <w:pPr>
              <w:spacing w:before="0"/>
              <w:jc w:val="center"/>
              <w:rPr>
                <w:rFonts w:cs="Calibri"/>
                <w:color w:val="000000"/>
                <w:szCs w:val="22"/>
              </w:rPr>
            </w:pPr>
            <w:r>
              <w:rPr>
                <w:rFonts w:cs="Calibri"/>
                <w:color w:val="000000"/>
                <w:szCs w:val="22"/>
              </w:rPr>
              <w:t>21</w:t>
            </w:r>
          </w:p>
        </w:tc>
        <w:tc>
          <w:tcPr>
            <w:tcW w:w="428" w:type="pct"/>
            <w:shd w:val="clear" w:color="auto" w:fill="auto"/>
            <w:noWrap/>
            <w:vAlign w:val="bottom"/>
          </w:tcPr>
          <w:p>
            <w:pPr>
              <w:spacing w:before="0"/>
              <w:jc w:val="center"/>
              <w:rPr>
                <w:rFonts w:cs="Calibri"/>
                <w:color w:val="000000"/>
                <w:szCs w:val="22"/>
              </w:rPr>
            </w:pPr>
            <w:r>
              <w:rPr>
                <w:rFonts w:cs="Calibri"/>
                <w:color w:val="000000"/>
                <w:szCs w:val="22"/>
              </w:rPr>
              <w:t>1130</w:t>
            </w:r>
          </w:p>
        </w:tc>
        <w:tc>
          <w:tcPr>
            <w:tcW w:w="587" w:type="pct"/>
            <w:vMerge/>
            <w:vAlign w:val="center"/>
          </w:tcPr>
          <w:p>
            <w:pPr>
              <w:spacing w:before="0"/>
              <w:jc w:val="center"/>
              <w:rPr>
                <w:rFonts w:cs="Calibri"/>
                <w:color w:val="000000"/>
                <w:szCs w:val="22"/>
              </w:rPr>
            </w:pPr>
          </w:p>
        </w:tc>
        <w:tc>
          <w:tcPr>
            <w:tcW w:w="752" w:type="pct"/>
            <w:vMerge/>
            <w:shd w:val="clear" w:color="auto" w:fill="auto"/>
            <w:noWrap/>
            <w:vAlign w:val="bottom"/>
          </w:tcPr>
          <w:p>
            <w:pPr>
              <w:spacing w:before="0"/>
              <w:jc w:val="center"/>
              <w:rPr>
                <w:rFonts w:cs="Calibri"/>
                <w:color w:val="000000"/>
                <w:szCs w:val="22"/>
              </w:rPr>
            </w:pPr>
          </w:p>
        </w:tc>
      </w:tr>
      <w:tr>
        <w:trPr>
          <w:trHeight w:val="300"/>
          <w:jc w:val="center"/>
        </w:trPr>
        <w:tc>
          <w:tcPr>
            <w:tcW w:w="672" w:type="pct"/>
            <w:vMerge/>
            <w:shd w:val="clear" w:color="auto" w:fill="auto"/>
            <w:noWrap/>
            <w:vAlign w:val="center"/>
          </w:tcPr>
          <w:p>
            <w:pPr>
              <w:spacing w:before="0"/>
              <w:jc w:val="left"/>
              <w:rPr>
                <w:rFonts w:cs="Calibri"/>
                <w:color w:val="000000"/>
              </w:rPr>
            </w:pPr>
          </w:p>
        </w:tc>
        <w:tc>
          <w:tcPr>
            <w:tcW w:w="1008" w:type="pct"/>
            <w:shd w:val="clear" w:color="auto" w:fill="auto"/>
            <w:noWrap/>
            <w:vAlign w:val="bottom"/>
          </w:tcPr>
          <w:p>
            <w:pPr>
              <w:spacing w:before="0"/>
              <w:jc w:val="center"/>
              <w:rPr>
                <w:rFonts w:cs="Calibri"/>
                <w:b/>
                <w:color w:val="000000"/>
                <w:szCs w:val="22"/>
              </w:rPr>
            </w:pPr>
            <w:r>
              <w:rPr>
                <w:rFonts w:cs="Calibri"/>
                <w:b/>
                <w:color w:val="000000"/>
                <w:szCs w:val="22"/>
              </w:rPr>
              <w:t>TOTAL</w:t>
            </w:r>
          </w:p>
        </w:tc>
        <w:tc>
          <w:tcPr>
            <w:tcW w:w="550" w:type="pct"/>
            <w:shd w:val="clear" w:color="auto" w:fill="auto"/>
            <w:noWrap/>
            <w:vAlign w:val="bottom"/>
          </w:tcPr>
          <w:p>
            <w:pPr>
              <w:spacing w:before="0"/>
              <w:jc w:val="center"/>
              <w:rPr>
                <w:rFonts w:cs="Calibri"/>
                <w:b/>
                <w:color w:val="000000"/>
                <w:szCs w:val="22"/>
              </w:rPr>
            </w:pPr>
            <w:r>
              <w:rPr>
                <w:rFonts w:cs="Calibri"/>
                <w:b/>
                <w:color w:val="000000"/>
                <w:szCs w:val="22"/>
              </w:rPr>
              <w:t>236</w:t>
            </w:r>
          </w:p>
        </w:tc>
        <w:tc>
          <w:tcPr>
            <w:tcW w:w="501" w:type="pct"/>
            <w:shd w:val="clear" w:color="auto" w:fill="auto"/>
            <w:noWrap/>
            <w:vAlign w:val="bottom"/>
          </w:tcPr>
          <w:p>
            <w:pPr>
              <w:spacing w:before="0"/>
              <w:jc w:val="center"/>
              <w:rPr>
                <w:rFonts w:cs="Calibri"/>
                <w:b/>
                <w:color w:val="000000"/>
                <w:szCs w:val="22"/>
              </w:rPr>
            </w:pPr>
            <w:r>
              <w:rPr>
                <w:rFonts w:cs="Calibri"/>
                <w:b/>
                <w:color w:val="000000"/>
                <w:szCs w:val="22"/>
              </w:rPr>
              <w:t>150</w:t>
            </w:r>
          </w:p>
        </w:tc>
        <w:tc>
          <w:tcPr>
            <w:tcW w:w="501" w:type="pct"/>
            <w:shd w:val="clear" w:color="auto" w:fill="auto"/>
            <w:noWrap/>
            <w:vAlign w:val="bottom"/>
          </w:tcPr>
          <w:p>
            <w:pPr>
              <w:spacing w:before="0"/>
              <w:jc w:val="center"/>
              <w:rPr>
                <w:rFonts w:cs="Calibri"/>
                <w:b/>
                <w:color w:val="000000"/>
                <w:szCs w:val="22"/>
              </w:rPr>
            </w:pPr>
            <w:r>
              <w:rPr>
                <w:rFonts w:cs="Calibri"/>
                <w:b/>
                <w:color w:val="000000"/>
                <w:szCs w:val="22"/>
              </w:rPr>
              <w:t>86</w:t>
            </w:r>
          </w:p>
        </w:tc>
        <w:tc>
          <w:tcPr>
            <w:tcW w:w="428" w:type="pct"/>
            <w:shd w:val="clear" w:color="auto" w:fill="auto"/>
            <w:noWrap/>
            <w:vAlign w:val="bottom"/>
          </w:tcPr>
          <w:p>
            <w:pPr>
              <w:spacing w:before="0"/>
              <w:jc w:val="center"/>
              <w:rPr>
                <w:rFonts w:cs="Calibri"/>
                <w:b/>
                <w:color w:val="000000"/>
                <w:szCs w:val="22"/>
              </w:rPr>
            </w:pPr>
            <w:r>
              <w:rPr>
                <w:rFonts w:cs="Calibri"/>
                <w:b/>
                <w:color w:val="000000"/>
                <w:szCs w:val="22"/>
              </w:rPr>
              <w:t>14970</w:t>
            </w:r>
          </w:p>
        </w:tc>
        <w:tc>
          <w:tcPr>
            <w:tcW w:w="587" w:type="pct"/>
            <w:vMerge/>
            <w:vAlign w:val="center"/>
          </w:tcPr>
          <w:p>
            <w:pPr>
              <w:spacing w:before="0"/>
              <w:jc w:val="center"/>
              <w:rPr>
                <w:rFonts w:cs="Calibri"/>
                <w:color w:val="000000"/>
                <w:szCs w:val="22"/>
              </w:rPr>
            </w:pPr>
          </w:p>
        </w:tc>
        <w:tc>
          <w:tcPr>
            <w:tcW w:w="752" w:type="pct"/>
            <w:vMerge/>
            <w:shd w:val="clear" w:color="auto" w:fill="auto"/>
            <w:noWrap/>
            <w:vAlign w:val="bottom"/>
          </w:tcPr>
          <w:p>
            <w:pPr>
              <w:spacing w:before="0"/>
              <w:jc w:val="center"/>
              <w:rPr>
                <w:rFonts w:cs="Calibri"/>
                <w:color w:val="000000"/>
                <w:szCs w:val="22"/>
              </w:rPr>
            </w:pPr>
          </w:p>
        </w:tc>
      </w:tr>
    </w:tbl>
    <w:p>
      <w:pPr>
        <w:pStyle w:val="Lgende"/>
      </w:pPr>
      <w:r>
        <w:t xml:space="preserve"> Résultats des tests à la fumée</w:t>
      </w:r>
    </w:p>
    <w:p>
      <w:r>
        <w:t>La surface active estimée suite au test à la fumée est de l’ordre de 14970m</w:t>
      </w:r>
      <w:r>
        <w:rPr>
          <w:vertAlign w:val="superscript"/>
        </w:rPr>
        <w:t>2</w:t>
      </w:r>
      <w:r>
        <w:t>. Ce résultat est inférieur à la surface active de 18655m</w:t>
      </w:r>
      <w:r>
        <w:rPr>
          <w:vertAlign w:val="superscript"/>
        </w:rPr>
        <w:t>2</w:t>
      </w:r>
      <w:r>
        <w:t xml:space="preserve"> déterminée à partir de la campagne de mesures de débits. Cette différence peut s’expliquer par :</w:t>
      </w:r>
    </w:p>
    <w:p>
      <w:pPr>
        <w:pStyle w:val="Retrait20"/>
      </w:pPr>
      <w:r>
        <w:t>La difficulté d’évaluer la surface collectée pour certaines anomalies (regard, boite de branchement non étanche qui capte une partie des ruissellements)</w:t>
      </w:r>
    </w:p>
    <w:p>
      <w:pPr>
        <w:pStyle w:val="Retrait20"/>
      </w:pPr>
      <w:r>
        <w:t>Le fait que certaines anomalies n’ont peut-être pas été détectées (visibilité de la fumée si mur de jardin haut, haie etc.)</w:t>
      </w:r>
    </w:p>
    <w:p>
      <w:pPr>
        <w:pStyle w:val="Retrait20"/>
      </w:pPr>
      <w:r>
        <w:t>Le fait que les surfaces actives mesurées lors de la campagne de mesure peuvent être surestimées par un effet de ressuyage rapide (l’eau s’infiltre rapidement dans le sol pendant une pluie importante et entre dans le réseau par infiltration). Ces volumes viennent donc surestimé les surfaces actives estimées alors qu’il s’agit d’eau infiltrée et non captée.</w:t>
      </w:r>
    </w:p>
    <w:p>
      <w:pPr>
        <w:rPr>
          <w:rStyle w:val="lev"/>
          <w:b w:val="0"/>
        </w:rPr>
      </w:pPr>
      <w:r>
        <w:rPr>
          <w:rStyle w:val="lev"/>
          <w:b w:val="0"/>
        </w:rPr>
        <w:t xml:space="preserve">Au total, 236 anomalies ont été identifiées sur les communes de </w:t>
      </w:r>
      <w:proofErr w:type="spellStart"/>
      <w:r>
        <w:rPr>
          <w:rStyle w:val="lev"/>
          <w:b w:val="0"/>
        </w:rPr>
        <w:t>Bezouce</w:t>
      </w:r>
      <w:proofErr w:type="spellEnd"/>
      <w:r>
        <w:rPr>
          <w:rStyle w:val="lev"/>
          <w:b w:val="0"/>
        </w:rPr>
        <w:t xml:space="preserve"> et Saint-</w:t>
      </w:r>
      <w:proofErr w:type="spellStart"/>
      <w:r>
        <w:rPr>
          <w:rStyle w:val="lev"/>
          <w:b w:val="0"/>
        </w:rPr>
        <w:t>Gervasy</w:t>
      </w:r>
      <w:proofErr w:type="spellEnd"/>
      <w:r>
        <w:rPr>
          <w:rStyle w:val="lev"/>
          <w:b w:val="0"/>
        </w:rPr>
        <w:t>, dont 86 se situent en domaine privé.</w:t>
      </w:r>
    </w:p>
    <w:p>
      <w:r>
        <w:t>La campagne de mesure a révélé une forte sensibilité des réseaux aux intempéries. Le programme de travaux propose des solutions techniques afin de réduire l’entrée des eaux parasites dans le réseau d’eaux usées, notamment par du renouvellement de réseau et la suppression des anomalies citées ci-dessus.</w:t>
      </w:r>
    </w:p>
    <w:p>
      <w:pPr>
        <w:rPr>
          <w:i/>
        </w:rPr>
      </w:pPr>
      <w:bookmarkStart w:id="23" w:name="_Ref43217455"/>
      <w:bookmarkStart w:id="24" w:name="_Toc46480262"/>
      <w:r>
        <w:rPr>
          <w:i/>
        </w:rPr>
        <w:t xml:space="preserve">Rappel : au niveau de la commune de </w:t>
      </w:r>
      <w:proofErr w:type="spellStart"/>
      <w:r>
        <w:rPr>
          <w:i/>
        </w:rPr>
        <w:t>Cabrières</w:t>
      </w:r>
      <w:proofErr w:type="spellEnd"/>
      <w:r>
        <w:rPr>
          <w:i/>
        </w:rPr>
        <w:t>, la campagne de mesure a déterminé une surface active d’environ 7 400m². Aucune recherche ECPP n’a été réalisée sur cette commune.</w:t>
      </w:r>
    </w:p>
    <w:p>
      <w:pPr>
        <w:spacing w:before="0"/>
        <w:jc w:val="left"/>
      </w:pPr>
    </w:p>
    <w:p>
      <w:pPr>
        <w:spacing w:before="0"/>
        <w:jc w:val="left"/>
        <w:rPr>
          <w:b/>
          <w:u w:val="single"/>
        </w:rPr>
      </w:pPr>
      <w:r>
        <w:rPr>
          <w:b/>
          <w:u w:val="single"/>
        </w:rPr>
        <w:t>Passage camera</w:t>
      </w:r>
    </w:p>
    <w:p>
      <w:pPr>
        <w:outlineLvl w:val="0"/>
      </w:pPr>
      <w:r>
        <w:t xml:space="preserve">Les secteurs investigués par le passage caméra correspondent aux secteurs potentiellement sensibles à très sensibles aux entrées d’eaux claires parasites, les secteurs où sont présents des regards en mauvais état, les secteurs avec des problèmes d’écoulement (traces de mise en charge), les secteurs où des anomalies repérées lors des tests à la fumée ont été identifiées, et les secteurs où des programmes de voirie sont prévus à court terme. 10 313 ml d’investigations télévisées ont été réalisés, dont : </w:t>
      </w:r>
    </w:p>
    <w:p>
      <w:pPr>
        <w:pStyle w:val="Paragraphedeliste"/>
        <w:numPr>
          <w:ilvl w:val="0"/>
          <w:numId w:val="39"/>
        </w:numPr>
        <w:outlineLvl w:val="0"/>
      </w:pPr>
      <w:r>
        <w:t xml:space="preserve">5 184 ml sur la commune de </w:t>
      </w:r>
      <w:proofErr w:type="spellStart"/>
      <w:r>
        <w:t>Bezouce</w:t>
      </w:r>
      <w:proofErr w:type="spellEnd"/>
      <w:r>
        <w:t>.</w:t>
      </w:r>
    </w:p>
    <w:p>
      <w:pPr>
        <w:pStyle w:val="Paragraphedeliste"/>
        <w:numPr>
          <w:ilvl w:val="0"/>
          <w:numId w:val="39"/>
        </w:numPr>
        <w:outlineLvl w:val="0"/>
      </w:pPr>
      <w:r>
        <w:t>5 129 ml sur la commune de Saint-</w:t>
      </w:r>
      <w:proofErr w:type="spellStart"/>
      <w:r>
        <w:t>Gervasy</w:t>
      </w:r>
      <w:proofErr w:type="spellEnd"/>
      <w:r>
        <w:t>.</w:t>
      </w:r>
    </w:p>
    <w:p>
      <w:r>
        <w:t>L’entreprise MP3D a réalisé le passage caméra du :</w:t>
      </w:r>
    </w:p>
    <w:p>
      <w:pPr>
        <w:pStyle w:val="Paragraphedeliste"/>
        <w:numPr>
          <w:ilvl w:val="0"/>
          <w:numId w:val="40"/>
        </w:numPr>
      </w:pPr>
      <w:r>
        <w:t xml:space="preserve">3 novembre 2020 au 8 janvier 2021 sur la commune de </w:t>
      </w:r>
      <w:proofErr w:type="spellStart"/>
      <w:r>
        <w:t>Bezouce</w:t>
      </w:r>
      <w:proofErr w:type="spellEnd"/>
      <w:r>
        <w:t>.</w:t>
      </w:r>
    </w:p>
    <w:p>
      <w:pPr>
        <w:pStyle w:val="Paragraphedeliste"/>
        <w:numPr>
          <w:ilvl w:val="0"/>
          <w:numId w:val="40"/>
        </w:numPr>
      </w:pPr>
      <w:r>
        <w:t>26 novembre 2020 au 14 janvier 2021 sur la commune de Saint-</w:t>
      </w:r>
      <w:proofErr w:type="spellStart"/>
      <w:r>
        <w:t>Gervasy</w:t>
      </w:r>
      <w:proofErr w:type="spellEnd"/>
    </w:p>
    <w:p/>
    <w:p>
      <w:r>
        <w:t>La carte de localisation des investigations télévisées est présentée ci-après.</w:t>
      </w:r>
    </w:p>
    <w:p>
      <w:r>
        <w:rPr>
          <w:noProof/>
        </w:rPr>
        <w:lastRenderedPageBreak/>
        <w:drawing>
          <wp:inline distT="0" distB="0" distL="0" distR="0">
            <wp:extent cx="6119495" cy="4246386"/>
            <wp:effectExtent l="19050" t="19050" r="14605" b="20955"/>
            <wp:docPr id="1360" name="Image 1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6119495" cy="4246386"/>
                    </a:xfrm>
                    <a:prstGeom prst="rect">
                      <a:avLst/>
                    </a:prstGeom>
                    <a:ln>
                      <a:solidFill>
                        <a:schemeClr val="tx1"/>
                      </a:solidFill>
                    </a:ln>
                  </pic:spPr>
                </pic:pic>
              </a:graphicData>
            </a:graphic>
          </wp:inline>
        </w:drawing>
      </w:r>
    </w:p>
    <w:p>
      <w:pPr>
        <w:pStyle w:val="Lgende"/>
        <w:jc w:val="center"/>
        <w:rPr>
          <w:szCs w:val="20"/>
        </w:rPr>
      </w:pPr>
      <w:r>
        <w:rPr>
          <w:szCs w:val="20"/>
        </w:rPr>
        <w:t>Carte de localisation des investigations télévisées</w:t>
      </w:r>
    </w:p>
    <w:p>
      <w:pPr>
        <w:pStyle w:val="Lgende"/>
        <w:jc w:val="left"/>
        <w:rPr>
          <w:b/>
          <w:smallCaps/>
          <w:color w:val="333333"/>
          <w:kern w:val="28"/>
          <w:sz w:val="22"/>
          <w:szCs w:val="22"/>
        </w:rPr>
      </w:pPr>
      <w:r>
        <w:rPr>
          <w:szCs w:val="20"/>
        </w:rPr>
        <w:t>L</w:t>
      </w:r>
      <w:r>
        <w:t>e tableau ci-dessous synthétise les différentes anomalies rencontrées lors du passage caméra.</w:t>
      </w:r>
    </w:p>
    <w:tbl>
      <w:tblPr>
        <w:tblStyle w:val="Grilledutableau"/>
        <w:tblW w:w="0" w:type="auto"/>
        <w:jc w:val="center"/>
        <w:tblLook w:val="04A0" w:firstRow="1" w:lastRow="0" w:firstColumn="1" w:lastColumn="0" w:noHBand="0" w:noVBand="1"/>
      </w:tblPr>
      <w:tblGrid>
        <w:gridCol w:w="1955"/>
        <w:gridCol w:w="4674"/>
        <w:gridCol w:w="2410"/>
      </w:tblGrid>
      <w:tr>
        <w:trPr>
          <w:jc w:val="center"/>
        </w:trPr>
        <w:tc>
          <w:tcPr>
            <w:tcW w:w="1955"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pPr>
              <w:jc w:val="center"/>
              <w:rPr>
                <w:rFonts w:cs="Arial"/>
                <w:color w:val="000000"/>
              </w:rPr>
            </w:pPr>
            <w:r>
              <w:rPr>
                <w:rFonts w:cs="Arial"/>
                <w:b/>
                <w:bCs/>
              </w:rPr>
              <w:t>Secteur</w:t>
            </w:r>
          </w:p>
        </w:tc>
        <w:tc>
          <w:tcPr>
            <w:tcW w:w="467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pPr>
              <w:jc w:val="center"/>
              <w:rPr>
                <w:rFonts w:cs="Arial"/>
                <w:color w:val="000000"/>
              </w:rPr>
            </w:pPr>
            <w:r>
              <w:rPr>
                <w:rFonts w:cs="Arial"/>
                <w:b/>
                <w:bCs/>
              </w:rPr>
              <w:t>Anomalies repérées</w:t>
            </w:r>
          </w:p>
        </w:tc>
        <w:tc>
          <w:tcPr>
            <w:tcW w:w="2410"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pPr>
              <w:jc w:val="center"/>
              <w:rPr>
                <w:rFonts w:cs="Arial"/>
                <w:color w:val="000000"/>
              </w:rPr>
            </w:pPr>
            <w:r>
              <w:rPr>
                <w:rFonts w:cs="Arial"/>
                <w:b/>
                <w:bCs/>
              </w:rPr>
              <w:t xml:space="preserve">Total des anomalies </w:t>
            </w:r>
          </w:p>
        </w:tc>
      </w:tr>
      <w:tr>
        <w:trPr>
          <w:jc w:val="center"/>
        </w:trPr>
        <w:tc>
          <w:tcPr>
            <w:tcW w:w="0" w:type="auto"/>
            <w:vMerge w:val="restart"/>
            <w:tcBorders>
              <w:left w:val="single" w:sz="4" w:space="0" w:color="auto"/>
              <w:right w:val="single" w:sz="4" w:space="0" w:color="auto"/>
            </w:tcBorders>
            <w:vAlign w:val="center"/>
            <w:hideMark/>
          </w:tcPr>
          <w:p>
            <w:pPr>
              <w:jc w:val="center"/>
              <w:rPr>
                <w:rFonts w:cs="Arial"/>
                <w:b/>
                <w:bCs/>
              </w:rPr>
            </w:pPr>
            <w:r>
              <w:rPr>
                <w:rFonts w:cs="Arial"/>
                <w:b/>
                <w:bCs/>
              </w:rPr>
              <w:t>Ouest Saint-</w:t>
            </w:r>
            <w:proofErr w:type="spellStart"/>
            <w:r>
              <w:rPr>
                <w:rFonts w:cs="Arial"/>
                <w:b/>
                <w:bCs/>
              </w:rPr>
              <w:t>Gervasy</w:t>
            </w:r>
            <w:proofErr w:type="spellEnd"/>
          </w:p>
        </w:tc>
        <w:tc>
          <w:tcPr>
            <w:tcW w:w="4674" w:type="dxa"/>
            <w:tcBorders>
              <w:top w:val="single" w:sz="4" w:space="0" w:color="auto"/>
              <w:left w:val="single" w:sz="4" w:space="0" w:color="auto"/>
              <w:bottom w:val="single" w:sz="4" w:space="0" w:color="auto"/>
              <w:right w:val="single" w:sz="4" w:space="0" w:color="auto"/>
            </w:tcBorders>
            <w:vAlign w:val="center"/>
          </w:tcPr>
          <w:p>
            <w:pPr>
              <w:rPr>
                <w:rFonts w:cs="Calibri"/>
                <w:color w:val="000000"/>
              </w:rPr>
            </w:pPr>
            <w:r>
              <w:rPr>
                <w:rFonts w:cs="Arial"/>
                <w:color w:val="000000"/>
              </w:rPr>
              <w:t>Déformation</w:t>
            </w:r>
          </w:p>
        </w:tc>
        <w:tc>
          <w:tcPr>
            <w:tcW w:w="2410" w:type="dxa"/>
            <w:tcBorders>
              <w:top w:val="single" w:sz="4" w:space="0" w:color="auto"/>
              <w:left w:val="single" w:sz="4" w:space="0" w:color="auto"/>
              <w:bottom w:val="single" w:sz="4" w:space="0" w:color="auto"/>
              <w:right w:val="single" w:sz="4" w:space="0" w:color="auto"/>
            </w:tcBorders>
            <w:vAlign w:val="center"/>
          </w:tcPr>
          <w:p>
            <w:pPr>
              <w:jc w:val="center"/>
              <w:rPr>
                <w:rFonts w:cs="Calibri"/>
                <w:color w:val="000000"/>
              </w:rPr>
            </w:pPr>
            <w:r>
              <w:rPr>
                <w:rFonts w:cs="Arial"/>
                <w:color w:val="000000"/>
              </w:rPr>
              <w:t>1</w:t>
            </w:r>
          </w:p>
        </w:tc>
      </w:tr>
      <w:tr>
        <w:trPr>
          <w:jc w:val="center"/>
        </w:trPr>
        <w:tc>
          <w:tcPr>
            <w:tcW w:w="0" w:type="auto"/>
            <w:vMerge/>
            <w:tcBorders>
              <w:left w:val="single" w:sz="4" w:space="0" w:color="auto"/>
              <w:right w:val="single" w:sz="4" w:space="0" w:color="auto"/>
            </w:tcBorders>
            <w:vAlign w:val="center"/>
          </w:tcPr>
          <w:p>
            <w:pPr>
              <w:jc w:val="center"/>
              <w:rPr>
                <w:rFonts w:cs="Arial"/>
                <w:b/>
                <w:bCs/>
              </w:rPr>
            </w:pPr>
          </w:p>
        </w:tc>
        <w:tc>
          <w:tcPr>
            <w:tcW w:w="4674" w:type="dxa"/>
            <w:tcBorders>
              <w:top w:val="single" w:sz="4" w:space="0" w:color="auto"/>
              <w:left w:val="single" w:sz="4" w:space="0" w:color="auto"/>
              <w:bottom w:val="single" w:sz="4" w:space="0" w:color="auto"/>
              <w:right w:val="single" w:sz="4" w:space="0" w:color="auto"/>
            </w:tcBorders>
            <w:vAlign w:val="center"/>
          </w:tcPr>
          <w:p>
            <w:pPr>
              <w:rPr>
                <w:rFonts w:cs="Calibri"/>
                <w:color w:val="000000"/>
              </w:rPr>
            </w:pPr>
            <w:r>
              <w:rPr>
                <w:rFonts w:cs="Calibri"/>
                <w:color w:val="000000"/>
              </w:rPr>
              <w:t>Dépôt</w:t>
            </w:r>
          </w:p>
        </w:tc>
        <w:tc>
          <w:tcPr>
            <w:tcW w:w="2410" w:type="dxa"/>
            <w:tcBorders>
              <w:top w:val="single" w:sz="4" w:space="0" w:color="auto"/>
              <w:left w:val="single" w:sz="4" w:space="0" w:color="auto"/>
              <w:bottom w:val="single" w:sz="4" w:space="0" w:color="auto"/>
              <w:right w:val="single" w:sz="4" w:space="0" w:color="auto"/>
            </w:tcBorders>
            <w:vAlign w:val="center"/>
          </w:tcPr>
          <w:p>
            <w:pPr>
              <w:jc w:val="center"/>
              <w:rPr>
                <w:rFonts w:cs="Calibri"/>
                <w:color w:val="000000"/>
              </w:rPr>
            </w:pPr>
            <w:r>
              <w:rPr>
                <w:rFonts w:cs="Calibri"/>
                <w:color w:val="000000"/>
              </w:rPr>
              <w:t>3</w:t>
            </w:r>
          </w:p>
        </w:tc>
      </w:tr>
      <w:tr>
        <w:trPr>
          <w:jc w:val="center"/>
        </w:trPr>
        <w:tc>
          <w:tcPr>
            <w:tcW w:w="1955" w:type="dxa"/>
            <w:vMerge w:val="restart"/>
            <w:tcBorders>
              <w:top w:val="single" w:sz="4" w:space="0" w:color="auto"/>
              <w:left w:val="single" w:sz="4" w:space="0" w:color="auto"/>
              <w:right w:val="single" w:sz="4" w:space="0" w:color="auto"/>
            </w:tcBorders>
            <w:vAlign w:val="center"/>
            <w:hideMark/>
          </w:tcPr>
          <w:p>
            <w:pPr>
              <w:jc w:val="center"/>
              <w:rPr>
                <w:rFonts w:cs="Arial"/>
                <w:b/>
                <w:bCs/>
              </w:rPr>
            </w:pPr>
            <w:r>
              <w:rPr>
                <w:rFonts w:cs="Arial"/>
                <w:b/>
                <w:bCs/>
              </w:rPr>
              <w:t>Est Saint-</w:t>
            </w:r>
            <w:proofErr w:type="spellStart"/>
            <w:r>
              <w:rPr>
                <w:rFonts w:cs="Arial"/>
                <w:b/>
                <w:bCs/>
              </w:rPr>
              <w:t>Gervasy</w:t>
            </w:r>
            <w:proofErr w:type="spellEnd"/>
          </w:p>
        </w:tc>
        <w:tc>
          <w:tcPr>
            <w:tcW w:w="4674" w:type="dxa"/>
            <w:tcBorders>
              <w:top w:val="single" w:sz="4" w:space="0" w:color="auto"/>
              <w:left w:val="single" w:sz="4" w:space="0" w:color="auto"/>
              <w:bottom w:val="single" w:sz="4" w:space="0" w:color="auto"/>
              <w:right w:val="single" w:sz="4" w:space="0" w:color="auto"/>
            </w:tcBorders>
            <w:vAlign w:val="center"/>
          </w:tcPr>
          <w:p>
            <w:pPr>
              <w:rPr>
                <w:rFonts w:cs="Calibri"/>
                <w:color w:val="000000"/>
              </w:rPr>
            </w:pPr>
            <w:r>
              <w:rPr>
                <w:rFonts w:cs="Arial"/>
                <w:color w:val="000000"/>
              </w:rPr>
              <w:t>Racines</w:t>
            </w:r>
          </w:p>
        </w:tc>
        <w:tc>
          <w:tcPr>
            <w:tcW w:w="2410" w:type="dxa"/>
            <w:tcBorders>
              <w:top w:val="single" w:sz="4" w:space="0" w:color="auto"/>
              <w:left w:val="single" w:sz="4" w:space="0" w:color="auto"/>
              <w:bottom w:val="single" w:sz="4" w:space="0" w:color="auto"/>
              <w:right w:val="single" w:sz="4" w:space="0" w:color="auto"/>
            </w:tcBorders>
            <w:vAlign w:val="center"/>
          </w:tcPr>
          <w:p>
            <w:pPr>
              <w:jc w:val="center"/>
              <w:rPr>
                <w:rFonts w:cs="Calibri"/>
                <w:color w:val="000000"/>
              </w:rPr>
            </w:pPr>
            <w:r>
              <w:rPr>
                <w:rFonts w:cs="Arial"/>
                <w:color w:val="000000"/>
              </w:rPr>
              <w:t>1</w:t>
            </w:r>
          </w:p>
        </w:tc>
      </w:tr>
      <w:tr>
        <w:trPr>
          <w:jc w:val="center"/>
        </w:trPr>
        <w:tc>
          <w:tcPr>
            <w:tcW w:w="1955" w:type="dxa"/>
            <w:vMerge/>
            <w:tcBorders>
              <w:left w:val="single" w:sz="4" w:space="0" w:color="auto"/>
              <w:right w:val="single" w:sz="4" w:space="0" w:color="auto"/>
            </w:tcBorders>
            <w:vAlign w:val="center"/>
          </w:tcPr>
          <w:p>
            <w:pPr>
              <w:jc w:val="center"/>
              <w:rPr>
                <w:rFonts w:cs="Arial"/>
                <w:b/>
                <w:bCs/>
              </w:rPr>
            </w:pPr>
          </w:p>
        </w:tc>
        <w:tc>
          <w:tcPr>
            <w:tcW w:w="4674" w:type="dxa"/>
            <w:tcBorders>
              <w:top w:val="single" w:sz="4" w:space="0" w:color="auto"/>
              <w:left w:val="single" w:sz="4" w:space="0" w:color="auto"/>
              <w:bottom w:val="single" w:sz="4" w:space="0" w:color="auto"/>
              <w:right w:val="single" w:sz="4" w:space="0" w:color="auto"/>
            </w:tcBorders>
            <w:vAlign w:val="center"/>
          </w:tcPr>
          <w:p>
            <w:pPr>
              <w:rPr>
                <w:rFonts w:cs="Calibri"/>
                <w:color w:val="000000"/>
              </w:rPr>
            </w:pPr>
            <w:r>
              <w:rPr>
                <w:rFonts w:cs="Arial"/>
                <w:color w:val="000000"/>
              </w:rPr>
              <w:t>Dégradation de surface</w:t>
            </w:r>
          </w:p>
        </w:tc>
        <w:tc>
          <w:tcPr>
            <w:tcW w:w="2410" w:type="dxa"/>
            <w:tcBorders>
              <w:top w:val="single" w:sz="4" w:space="0" w:color="auto"/>
              <w:left w:val="single" w:sz="4" w:space="0" w:color="auto"/>
              <w:bottom w:val="single" w:sz="4" w:space="0" w:color="auto"/>
              <w:right w:val="single" w:sz="4" w:space="0" w:color="auto"/>
            </w:tcBorders>
            <w:vAlign w:val="center"/>
          </w:tcPr>
          <w:p>
            <w:pPr>
              <w:jc w:val="center"/>
              <w:rPr>
                <w:rFonts w:cs="Calibri"/>
                <w:color w:val="000000"/>
              </w:rPr>
            </w:pPr>
            <w:r>
              <w:rPr>
                <w:rFonts w:cs="Arial"/>
                <w:color w:val="000000"/>
              </w:rPr>
              <w:t>1</w:t>
            </w:r>
          </w:p>
        </w:tc>
      </w:tr>
      <w:tr>
        <w:trPr>
          <w:jc w:val="center"/>
        </w:trPr>
        <w:tc>
          <w:tcPr>
            <w:tcW w:w="1955" w:type="dxa"/>
            <w:vMerge/>
            <w:tcBorders>
              <w:left w:val="single" w:sz="4" w:space="0" w:color="auto"/>
              <w:right w:val="single" w:sz="4" w:space="0" w:color="auto"/>
            </w:tcBorders>
            <w:vAlign w:val="center"/>
          </w:tcPr>
          <w:p>
            <w:pPr>
              <w:jc w:val="center"/>
              <w:rPr>
                <w:rFonts w:cs="Arial"/>
                <w:b/>
                <w:bCs/>
              </w:rPr>
            </w:pPr>
          </w:p>
        </w:tc>
        <w:tc>
          <w:tcPr>
            <w:tcW w:w="4674" w:type="dxa"/>
            <w:tcBorders>
              <w:top w:val="single" w:sz="4" w:space="0" w:color="auto"/>
              <w:left w:val="single" w:sz="4" w:space="0" w:color="auto"/>
              <w:bottom w:val="single" w:sz="4" w:space="0" w:color="auto"/>
              <w:right w:val="single" w:sz="4" w:space="0" w:color="auto"/>
            </w:tcBorders>
            <w:vAlign w:val="center"/>
          </w:tcPr>
          <w:p>
            <w:pPr>
              <w:rPr>
                <w:rFonts w:cs="Calibri"/>
                <w:color w:val="000000"/>
              </w:rPr>
            </w:pPr>
            <w:r>
              <w:rPr>
                <w:rFonts w:cs="Arial"/>
                <w:color w:val="000000"/>
              </w:rPr>
              <w:t>Déformation</w:t>
            </w:r>
          </w:p>
        </w:tc>
        <w:tc>
          <w:tcPr>
            <w:tcW w:w="2410" w:type="dxa"/>
            <w:tcBorders>
              <w:top w:val="single" w:sz="4" w:space="0" w:color="auto"/>
              <w:left w:val="single" w:sz="4" w:space="0" w:color="auto"/>
              <w:bottom w:val="single" w:sz="4" w:space="0" w:color="auto"/>
              <w:right w:val="single" w:sz="4" w:space="0" w:color="auto"/>
            </w:tcBorders>
            <w:vAlign w:val="center"/>
          </w:tcPr>
          <w:p>
            <w:pPr>
              <w:jc w:val="center"/>
              <w:rPr>
                <w:rFonts w:cs="Calibri"/>
                <w:color w:val="000000"/>
              </w:rPr>
            </w:pPr>
            <w:r>
              <w:rPr>
                <w:rFonts w:cs="Arial"/>
                <w:color w:val="000000"/>
              </w:rPr>
              <w:t>1</w:t>
            </w:r>
          </w:p>
        </w:tc>
      </w:tr>
      <w:tr>
        <w:trPr>
          <w:jc w:val="center"/>
        </w:trPr>
        <w:tc>
          <w:tcPr>
            <w:tcW w:w="1955" w:type="dxa"/>
            <w:vMerge/>
            <w:tcBorders>
              <w:left w:val="single" w:sz="4" w:space="0" w:color="auto"/>
              <w:right w:val="single" w:sz="4" w:space="0" w:color="auto"/>
            </w:tcBorders>
            <w:vAlign w:val="center"/>
          </w:tcPr>
          <w:p>
            <w:pPr>
              <w:jc w:val="center"/>
              <w:rPr>
                <w:rFonts w:cs="Arial"/>
                <w:b/>
                <w:bCs/>
              </w:rPr>
            </w:pPr>
          </w:p>
        </w:tc>
        <w:tc>
          <w:tcPr>
            <w:tcW w:w="4674" w:type="dxa"/>
            <w:tcBorders>
              <w:top w:val="single" w:sz="4" w:space="0" w:color="auto"/>
              <w:left w:val="single" w:sz="4" w:space="0" w:color="auto"/>
              <w:bottom w:val="single" w:sz="4" w:space="0" w:color="auto"/>
              <w:right w:val="single" w:sz="4" w:space="0" w:color="auto"/>
            </w:tcBorders>
            <w:vAlign w:val="center"/>
          </w:tcPr>
          <w:p>
            <w:pPr>
              <w:rPr>
                <w:rFonts w:cs="Calibri"/>
                <w:color w:val="000000"/>
              </w:rPr>
            </w:pPr>
            <w:r>
              <w:rPr>
                <w:rFonts w:cs="Arial"/>
                <w:color w:val="000000"/>
              </w:rPr>
              <w:t>Déplacement</w:t>
            </w:r>
          </w:p>
        </w:tc>
        <w:tc>
          <w:tcPr>
            <w:tcW w:w="2410" w:type="dxa"/>
            <w:tcBorders>
              <w:top w:val="single" w:sz="4" w:space="0" w:color="auto"/>
              <w:left w:val="single" w:sz="4" w:space="0" w:color="auto"/>
              <w:bottom w:val="single" w:sz="4" w:space="0" w:color="auto"/>
              <w:right w:val="single" w:sz="4" w:space="0" w:color="auto"/>
            </w:tcBorders>
            <w:vAlign w:val="center"/>
          </w:tcPr>
          <w:p>
            <w:pPr>
              <w:jc w:val="center"/>
              <w:rPr>
                <w:rFonts w:cs="Calibri"/>
                <w:color w:val="000000"/>
              </w:rPr>
            </w:pPr>
            <w:r>
              <w:rPr>
                <w:rFonts w:cs="Arial"/>
                <w:color w:val="000000"/>
              </w:rPr>
              <w:t>1</w:t>
            </w:r>
          </w:p>
        </w:tc>
      </w:tr>
      <w:tr>
        <w:trPr>
          <w:jc w:val="center"/>
        </w:trPr>
        <w:tc>
          <w:tcPr>
            <w:tcW w:w="1955" w:type="dxa"/>
            <w:vMerge/>
            <w:tcBorders>
              <w:left w:val="single" w:sz="4" w:space="0" w:color="auto"/>
              <w:right w:val="single" w:sz="4" w:space="0" w:color="auto"/>
            </w:tcBorders>
            <w:vAlign w:val="center"/>
          </w:tcPr>
          <w:p>
            <w:pPr>
              <w:jc w:val="center"/>
              <w:rPr>
                <w:rFonts w:cs="Arial"/>
                <w:b/>
                <w:bCs/>
              </w:rPr>
            </w:pPr>
          </w:p>
        </w:tc>
        <w:tc>
          <w:tcPr>
            <w:tcW w:w="4674" w:type="dxa"/>
            <w:tcBorders>
              <w:top w:val="single" w:sz="4" w:space="0" w:color="auto"/>
              <w:left w:val="single" w:sz="4" w:space="0" w:color="auto"/>
              <w:bottom w:val="single" w:sz="4" w:space="0" w:color="auto"/>
              <w:right w:val="single" w:sz="4" w:space="0" w:color="auto"/>
            </w:tcBorders>
            <w:vAlign w:val="center"/>
          </w:tcPr>
          <w:p>
            <w:pPr>
              <w:rPr>
                <w:rFonts w:cs="Calibri"/>
                <w:color w:val="000000"/>
              </w:rPr>
            </w:pPr>
            <w:r>
              <w:rPr>
                <w:rFonts w:cs="Calibri"/>
                <w:color w:val="000000"/>
              </w:rPr>
              <w:t>Dépôt</w:t>
            </w:r>
          </w:p>
        </w:tc>
        <w:tc>
          <w:tcPr>
            <w:tcW w:w="2410" w:type="dxa"/>
            <w:tcBorders>
              <w:top w:val="single" w:sz="4" w:space="0" w:color="auto"/>
              <w:left w:val="single" w:sz="4" w:space="0" w:color="auto"/>
              <w:bottom w:val="single" w:sz="4" w:space="0" w:color="auto"/>
              <w:right w:val="single" w:sz="4" w:space="0" w:color="auto"/>
            </w:tcBorders>
            <w:vAlign w:val="center"/>
          </w:tcPr>
          <w:p>
            <w:pPr>
              <w:jc w:val="center"/>
              <w:rPr>
                <w:rFonts w:cs="Calibri"/>
                <w:color w:val="000000"/>
              </w:rPr>
            </w:pPr>
            <w:r>
              <w:rPr>
                <w:rFonts w:cs="Calibri"/>
                <w:color w:val="000000"/>
              </w:rPr>
              <w:t>6</w:t>
            </w:r>
          </w:p>
        </w:tc>
      </w:tr>
      <w:tr>
        <w:trPr>
          <w:jc w:val="center"/>
        </w:trPr>
        <w:tc>
          <w:tcPr>
            <w:tcW w:w="1955" w:type="dxa"/>
            <w:vMerge w:val="restart"/>
            <w:tcBorders>
              <w:top w:val="single" w:sz="4" w:space="0" w:color="auto"/>
              <w:left w:val="single" w:sz="4" w:space="0" w:color="auto"/>
              <w:right w:val="single" w:sz="4" w:space="0" w:color="auto"/>
            </w:tcBorders>
            <w:vAlign w:val="center"/>
            <w:hideMark/>
          </w:tcPr>
          <w:p>
            <w:pPr>
              <w:jc w:val="center"/>
              <w:rPr>
                <w:rFonts w:cs="Arial"/>
                <w:b/>
                <w:bCs/>
              </w:rPr>
            </w:pPr>
            <w:r>
              <w:rPr>
                <w:rFonts w:cs="Arial"/>
                <w:b/>
                <w:bCs/>
              </w:rPr>
              <w:t xml:space="preserve">Nord </w:t>
            </w:r>
            <w:proofErr w:type="spellStart"/>
            <w:r>
              <w:rPr>
                <w:rFonts w:cs="Arial"/>
                <w:b/>
                <w:bCs/>
              </w:rPr>
              <w:t>Bezouce</w:t>
            </w:r>
            <w:proofErr w:type="spellEnd"/>
          </w:p>
        </w:tc>
        <w:tc>
          <w:tcPr>
            <w:tcW w:w="4674" w:type="dxa"/>
            <w:tcBorders>
              <w:top w:val="single" w:sz="4" w:space="0" w:color="auto"/>
              <w:left w:val="single" w:sz="4" w:space="0" w:color="auto"/>
              <w:bottom w:val="single" w:sz="4" w:space="0" w:color="auto"/>
              <w:right w:val="single" w:sz="4" w:space="0" w:color="auto"/>
            </w:tcBorders>
            <w:vAlign w:val="center"/>
          </w:tcPr>
          <w:p>
            <w:pPr>
              <w:rPr>
                <w:rFonts w:cs="Calibri"/>
                <w:color w:val="000000"/>
              </w:rPr>
            </w:pPr>
            <w:r>
              <w:rPr>
                <w:rFonts w:cs="Arial"/>
                <w:color w:val="000000"/>
              </w:rPr>
              <w:t>Effondrement</w:t>
            </w:r>
          </w:p>
        </w:tc>
        <w:tc>
          <w:tcPr>
            <w:tcW w:w="2410" w:type="dxa"/>
            <w:tcBorders>
              <w:top w:val="single" w:sz="4" w:space="0" w:color="auto"/>
              <w:left w:val="single" w:sz="4" w:space="0" w:color="auto"/>
              <w:bottom w:val="single" w:sz="4" w:space="0" w:color="auto"/>
              <w:right w:val="single" w:sz="4" w:space="0" w:color="auto"/>
            </w:tcBorders>
            <w:vAlign w:val="center"/>
          </w:tcPr>
          <w:p>
            <w:pPr>
              <w:jc w:val="center"/>
              <w:rPr>
                <w:rFonts w:cs="Calibri"/>
                <w:color w:val="000000"/>
              </w:rPr>
            </w:pPr>
            <w:r>
              <w:rPr>
                <w:rFonts w:cs="Arial"/>
                <w:color w:val="000000"/>
              </w:rPr>
              <w:t>2</w:t>
            </w:r>
          </w:p>
        </w:tc>
      </w:tr>
      <w:tr>
        <w:trPr>
          <w:jc w:val="center"/>
        </w:trPr>
        <w:tc>
          <w:tcPr>
            <w:tcW w:w="1955" w:type="dxa"/>
            <w:vMerge/>
            <w:tcBorders>
              <w:left w:val="single" w:sz="4" w:space="0" w:color="auto"/>
              <w:right w:val="single" w:sz="4" w:space="0" w:color="auto"/>
            </w:tcBorders>
            <w:vAlign w:val="center"/>
          </w:tcPr>
          <w:p>
            <w:pPr>
              <w:jc w:val="center"/>
              <w:rPr>
                <w:rFonts w:cs="Arial"/>
                <w:b/>
                <w:bCs/>
              </w:rPr>
            </w:pPr>
          </w:p>
        </w:tc>
        <w:tc>
          <w:tcPr>
            <w:tcW w:w="4674" w:type="dxa"/>
            <w:tcBorders>
              <w:top w:val="single" w:sz="4" w:space="0" w:color="auto"/>
              <w:left w:val="single" w:sz="4" w:space="0" w:color="auto"/>
              <w:bottom w:val="single" w:sz="4" w:space="0" w:color="auto"/>
              <w:right w:val="single" w:sz="4" w:space="0" w:color="auto"/>
            </w:tcBorders>
            <w:vAlign w:val="center"/>
          </w:tcPr>
          <w:p>
            <w:pPr>
              <w:rPr>
                <w:rFonts w:cs="Calibri"/>
                <w:color w:val="000000"/>
              </w:rPr>
            </w:pPr>
            <w:r>
              <w:rPr>
                <w:rFonts w:cs="Arial"/>
                <w:color w:val="000000"/>
              </w:rPr>
              <w:t>Fissure</w:t>
            </w:r>
          </w:p>
        </w:tc>
        <w:tc>
          <w:tcPr>
            <w:tcW w:w="2410" w:type="dxa"/>
            <w:tcBorders>
              <w:top w:val="single" w:sz="4" w:space="0" w:color="auto"/>
              <w:left w:val="single" w:sz="4" w:space="0" w:color="auto"/>
              <w:bottom w:val="single" w:sz="4" w:space="0" w:color="auto"/>
              <w:right w:val="single" w:sz="4" w:space="0" w:color="auto"/>
            </w:tcBorders>
            <w:vAlign w:val="center"/>
          </w:tcPr>
          <w:p>
            <w:pPr>
              <w:jc w:val="center"/>
              <w:rPr>
                <w:rFonts w:cs="Calibri"/>
                <w:color w:val="000000"/>
              </w:rPr>
            </w:pPr>
            <w:r>
              <w:rPr>
                <w:rFonts w:cs="Arial"/>
                <w:color w:val="000000"/>
              </w:rPr>
              <w:t>2</w:t>
            </w:r>
          </w:p>
        </w:tc>
      </w:tr>
      <w:tr>
        <w:trPr>
          <w:jc w:val="center"/>
        </w:trPr>
        <w:tc>
          <w:tcPr>
            <w:tcW w:w="0" w:type="auto"/>
            <w:vMerge/>
            <w:tcBorders>
              <w:left w:val="single" w:sz="4" w:space="0" w:color="auto"/>
              <w:right w:val="single" w:sz="4" w:space="0" w:color="auto"/>
            </w:tcBorders>
            <w:vAlign w:val="center"/>
            <w:hideMark/>
          </w:tcPr>
          <w:p>
            <w:pPr>
              <w:spacing w:before="0"/>
              <w:jc w:val="center"/>
              <w:rPr>
                <w:rFonts w:cs="Arial"/>
                <w:color w:val="000000"/>
              </w:rPr>
            </w:pPr>
          </w:p>
        </w:tc>
        <w:tc>
          <w:tcPr>
            <w:tcW w:w="4674" w:type="dxa"/>
            <w:tcBorders>
              <w:top w:val="single" w:sz="4" w:space="0" w:color="auto"/>
              <w:left w:val="single" w:sz="4" w:space="0" w:color="auto"/>
              <w:bottom w:val="single" w:sz="4" w:space="0" w:color="auto"/>
              <w:right w:val="single" w:sz="4" w:space="0" w:color="auto"/>
            </w:tcBorders>
            <w:vAlign w:val="center"/>
          </w:tcPr>
          <w:p>
            <w:pPr>
              <w:rPr>
                <w:rFonts w:cs="Calibri"/>
                <w:color w:val="000000"/>
              </w:rPr>
            </w:pPr>
            <w:r>
              <w:rPr>
                <w:rFonts w:cs="Arial"/>
                <w:color w:val="000000"/>
              </w:rPr>
              <w:t>Déformation</w:t>
            </w:r>
          </w:p>
        </w:tc>
        <w:tc>
          <w:tcPr>
            <w:tcW w:w="2410" w:type="dxa"/>
            <w:tcBorders>
              <w:top w:val="single" w:sz="4" w:space="0" w:color="auto"/>
              <w:left w:val="single" w:sz="4" w:space="0" w:color="auto"/>
              <w:bottom w:val="single" w:sz="4" w:space="0" w:color="auto"/>
              <w:right w:val="single" w:sz="4" w:space="0" w:color="auto"/>
            </w:tcBorders>
            <w:vAlign w:val="center"/>
          </w:tcPr>
          <w:p>
            <w:pPr>
              <w:jc w:val="center"/>
              <w:rPr>
                <w:rFonts w:cs="Calibri"/>
                <w:color w:val="000000"/>
              </w:rPr>
            </w:pPr>
            <w:r>
              <w:rPr>
                <w:rFonts w:cs="Arial"/>
                <w:color w:val="000000"/>
              </w:rPr>
              <w:t>11</w:t>
            </w:r>
          </w:p>
        </w:tc>
      </w:tr>
      <w:tr>
        <w:trPr>
          <w:jc w:val="center"/>
        </w:trPr>
        <w:tc>
          <w:tcPr>
            <w:tcW w:w="0" w:type="auto"/>
            <w:vMerge/>
            <w:tcBorders>
              <w:left w:val="single" w:sz="4" w:space="0" w:color="auto"/>
              <w:right w:val="single" w:sz="4" w:space="0" w:color="auto"/>
            </w:tcBorders>
            <w:vAlign w:val="center"/>
          </w:tcPr>
          <w:p>
            <w:pPr>
              <w:spacing w:before="0"/>
              <w:jc w:val="center"/>
              <w:rPr>
                <w:rFonts w:cs="Arial"/>
                <w:color w:val="000000"/>
              </w:rPr>
            </w:pPr>
          </w:p>
        </w:tc>
        <w:tc>
          <w:tcPr>
            <w:tcW w:w="4674" w:type="dxa"/>
            <w:tcBorders>
              <w:top w:val="single" w:sz="4" w:space="0" w:color="auto"/>
              <w:left w:val="single" w:sz="4" w:space="0" w:color="auto"/>
              <w:bottom w:val="single" w:sz="4" w:space="0" w:color="auto"/>
              <w:right w:val="single" w:sz="4" w:space="0" w:color="auto"/>
            </w:tcBorders>
            <w:vAlign w:val="center"/>
          </w:tcPr>
          <w:p>
            <w:pPr>
              <w:rPr>
                <w:rFonts w:cs="Calibri"/>
                <w:color w:val="000000"/>
              </w:rPr>
            </w:pPr>
            <w:r>
              <w:rPr>
                <w:rFonts w:cs="Arial"/>
                <w:color w:val="000000"/>
              </w:rPr>
              <w:t>Déplacement</w:t>
            </w:r>
          </w:p>
        </w:tc>
        <w:tc>
          <w:tcPr>
            <w:tcW w:w="2410" w:type="dxa"/>
            <w:tcBorders>
              <w:top w:val="single" w:sz="4" w:space="0" w:color="auto"/>
              <w:left w:val="single" w:sz="4" w:space="0" w:color="auto"/>
              <w:bottom w:val="single" w:sz="4" w:space="0" w:color="auto"/>
              <w:right w:val="single" w:sz="4" w:space="0" w:color="auto"/>
            </w:tcBorders>
            <w:vAlign w:val="center"/>
          </w:tcPr>
          <w:p>
            <w:pPr>
              <w:jc w:val="center"/>
              <w:rPr>
                <w:rFonts w:cs="Calibri"/>
                <w:color w:val="000000"/>
              </w:rPr>
            </w:pPr>
            <w:r>
              <w:rPr>
                <w:rFonts w:cs="Arial"/>
                <w:color w:val="000000"/>
              </w:rPr>
              <w:t>1</w:t>
            </w:r>
          </w:p>
        </w:tc>
      </w:tr>
      <w:tr>
        <w:trPr>
          <w:jc w:val="center"/>
        </w:trPr>
        <w:tc>
          <w:tcPr>
            <w:tcW w:w="0" w:type="auto"/>
            <w:vMerge/>
            <w:tcBorders>
              <w:left w:val="single" w:sz="4" w:space="0" w:color="auto"/>
              <w:bottom w:val="single" w:sz="4" w:space="0" w:color="auto"/>
              <w:right w:val="single" w:sz="4" w:space="0" w:color="auto"/>
            </w:tcBorders>
            <w:vAlign w:val="center"/>
          </w:tcPr>
          <w:p>
            <w:pPr>
              <w:spacing w:before="0"/>
              <w:jc w:val="center"/>
              <w:rPr>
                <w:rFonts w:cs="Arial"/>
                <w:color w:val="000000"/>
              </w:rPr>
            </w:pPr>
          </w:p>
        </w:tc>
        <w:tc>
          <w:tcPr>
            <w:tcW w:w="4674" w:type="dxa"/>
            <w:tcBorders>
              <w:top w:val="single" w:sz="4" w:space="0" w:color="auto"/>
              <w:left w:val="single" w:sz="4" w:space="0" w:color="auto"/>
              <w:bottom w:val="single" w:sz="4" w:space="0" w:color="auto"/>
              <w:right w:val="single" w:sz="4" w:space="0" w:color="auto"/>
            </w:tcBorders>
            <w:vAlign w:val="center"/>
          </w:tcPr>
          <w:p>
            <w:pPr>
              <w:rPr>
                <w:rFonts w:cs="Calibri"/>
                <w:color w:val="000000"/>
              </w:rPr>
            </w:pPr>
            <w:r>
              <w:rPr>
                <w:rFonts w:cs="Calibri"/>
                <w:color w:val="000000"/>
              </w:rPr>
              <w:t>Dépôt</w:t>
            </w:r>
          </w:p>
        </w:tc>
        <w:tc>
          <w:tcPr>
            <w:tcW w:w="2410" w:type="dxa"/>
            <w:tcBorders>
              <w:top w:val="single" w:sz="4" w:space="0" w:color="auto"/>
              <w:left w:val="single" w:sz="4" w:space="0" w:color="auto"/>
              <w:bottom w:val="single" w:sz="4" w:space="0" w:color="auto"/>
              <w:right w:val="single" w:sz="4" w:space="0" w:color="auto"/>
            </w:tcBorders>
            <w:vAlign w:val="center"/>
          </w:tcPr>
          <w:p>
            <w:pPr>
              <w:jc w:val="center"/>
              <w:rPr>
                <w:rFonts w:cs="Calibri"/>
                <w:color w:val="000000"/>
              </w:rPr>
            </w:pPr>
            <w:r>
              <w:rPr>
                <w:rFonts w:cs="Calibri"/>
                <w:color w:val="000000"/>
              </w:rPr>
              <w:t>5</w:t>
            </w:r>
          </w:p>
        </w:tc>
      </w:tr>
      <w:tr>
        <w:trPr>
          <w:jc w:val="center"/>
        </w:trPr>
        <w:tc>
          <w:tcPr>
            <w:tcW w:w="1955" w:type="dxa"/>
            <w:vMerge w:val="restart"/>
            <w:tcBorders>
              <w:top w:val="single" w:sz="4" w:space="0" w:color="auto"/>
              <w:left w:val="single" w:sz="4" w:space="0" w:color="auto"/>
              <w:right w:val="single" w:sz="4" w:space="0" w:color="auto"/>
            </w:tcBorders>
            <w:vAlign w:val="center"/>
            <w:hideMark/>
          </w:tcPr>
          <w:p>
            <w:pPr>
              <w:jc w:val="center"/>
              <w:rPr>
                <w:rFonts w:cs="Arial"/>
                <w:color w:val="000000"/>
              </w:rPr>
            </w:pPr>
            <w:r>
              <w:rPr>
                <w:rFonts w:cs="Arial"/>
                <w:b/>
                <w:bCs/>
              </w:rPr>
              <w:t xml:space="preserve">Sud </w:t>
            </w:r>
            <w:proofErr w:type="spellStart"/>
            <w:r>
              <w:rPr>
                <w:rFonts w:cs="Arial"/>
                <w:b/>
                <w:bCs/>
              </w:rPr>
              <w:t>Bezouce</w:t>
            </w:r>
            <w:proofErr w:type="spellEnd"/>
          </w:p>
        </w:tc>
        <w:tc>
          <w:tcPr>
            <w:tcW w:w="4674" w:type="dxa"/>
            <w:tcBorders>
              <w:top w:val="single" w:sz="4" w:space="0" w:color="auto"/>
              <w:left w:val="single" w:sz="4" w:space="0" w:color="auto"/>
              <w:bottom w:val="single" w:sz="4" w:space="0" w:color="auto"/>
              <w:right w:val="single" w:sz="4" w:space="0" w:color="auto"/>
            </w:tcBorders>
            <w:vAlign w:val="center"/>
          </w:tcPr>
          <w:p>
            <w:pPr>
              <w:rPr>
                <w:rFonts w:cs="Calibri"/>
                <w:color w:val="000000"/>
              </w:rPr>
            </w:pPr>
            <w:r>
              <w:rPr>
                <w:rFonts w:cs="Arial"/>
                <w:color w:val="000000"/>
              </w:rPr>
              <w:t>Effondrement</w:t>
            </w:r>
          </w:p>
        </w:tc>
        <w:tc>
          <w:tcPr>
            <w:tcW w:w="2410" w:type="dxa"/>
            <w:tcBorders>
              <w:top w:val="single" w:sz="4" w:space="0" w:color="auto"/>
              <w:left w:val="single" w:sz="4" w:space="0" w:color="auto"/>
              <w:bottom w:val="single" w:sz="4" w:space="0" w:color="auto"/>
              <w:right w:val="single" w:sz="4" w:space="0" w:color="auto"/>
            </w:tcBorders>
            <w:vAlign w:val="center"/>
          </w:tcPr>
          <w:p>
            <w:pPr>
              <w:jc w:val="center"/>
              <w:rPr>
                <w:rFonts w:cs="Calibri"/>
                <w:color w:val="000000"/>
              </w:rPr>
            </w:pPr>
            <w:r>
              <w:rPr>
                <w:rFonts w:cs="Arial"/>
                <w:color w:val="000000"/>
              </w:rPr>
              <w:t>1</w:t>
            </w:r>
          </w:p>
        </w:tc>
      </w:tr>
      <w:tr>
        <w:trPr>
          <w:jc w:val="center"/>
        </w:trPr>
        <w:tc>
          <w:tcPr>
            <w:tcW w:w="1955" w:type="dxa"/>
            <w:vMerge/>
            <w:tcBorders>
              <w:left w:val="single" w:sz="4" w:space="0" w:color="auto"/>
              <w:right w:val="single" w:sz="4" w:space="0" w:color="auto"/>
            </w:tcBorders>
            <w:vAlign w:val="center"/>
          </w:tcPr>
          <w:p>
            <w:pPr>
              <w:jc w:val="center"/>
              <w:rPr>
                <w:rFonts w:cs="Arial"/>
                <w:b/>
                <w:bCs/>
              </w:rPr>
            </w:pPr>
          </w:p>
        </w:tc>
        <w:tc>
          <w:tcPr>
            <w:tcW w:w="4674" w:type="dxa"/>
            <w:tcBorders>
              <w:top w:val="single" w:sz="4" w:space="0" w:color="auto"/>
              <w:left w:val="single" w:sz="4" w:space="0" w:color="auto"/>
              <w:bottom w:val="single" w:sz="4" w:space="0" w:color="auto"/>
              <w:right w:val="single" w:sz="4" w:space="0" w:color="auto"/>
            </w:tcBorders>
            <w:vAlign w:val="center"/>
          </w:tcPr>
          <w:p>
            <w:pPr>
              <w:rPr>
                <w:rFonts w:cs="Calibri"/>
                <w:color w:val="000000"/>
              </w:rPr>
            </w:pPr>
            <w:r>
              <w:rPr>
                <w:rFonts w:cs="Arial"/>
                <w:color w:val="000000"/>
              </w:rPr>
              <w:t>Fissure</w:t>
            </w:r>
          </w:p>
        </w:tc>
        <w:tc>
          <w:tcPr>
            <w:tcW w:w="2410" w:type="dxa"/>
            <w:tcBorders>
              <w:top w:val="single" w:sz="4" w:space="0" w:color="auto"/>
              <w:left w:val="single" w:sz="4" w:space="0" w:color="auto"/>
              <w:bottom w:val="single" w:sz="4" w:space="0" w:color="auto"/>
              <w:right w:val="single" w:sz="4" w:space="0" w:color="auto"/>
            </w:tcBorders>
            <w:vAlign w:val="center"/>
          </w:tcPr>
          <w:p>
            <w:pPr>
              <w:jc w:val="center"/>
              <w:rPr>
                <w:rFonts w:cs="Calibri"/>
                <w:color w:val="000000"/>
              </w:rPr>
            </w:pPr>
            <w:r>
              <w:rPr>
                <w:rFonts w:cs="Arial"/>
                <w:color w:val="000000"/>
              </w:rPr>
              <w:t>1</w:t>
            </w:r>
          </w:p>
        </w:tc>
      </w:tr>
      <w:tr>
        <w:trPr>
          <w:jc w:val="center"/>
        </w:trPr>
        <w:tc>
          <w:tcPr>
            <w:tcW w:w="1955" w:type="dxa"/>
            <w:vMerge/>
            <w:tcBorders>
              <w:left w:val="single" w:sz="4" w:space="0" w:color="auto"/>
              <w:right w:val="single" w:sz="4" w:space="0" w:color="auto"/>
            </w:tcBorders>
            <w:vAlign w:val="center"/>
          </w:tcPr>
          <w:p>
            <w:pPr>
              <w:jc w:val="center"/>
              <w:rPr>
                <w:rFonts w:cs="Arial"/>
                <w:b/>
                <w:bCs/>
              </w:rPr>
            </w:pPr>
          </w:p>
        </w:tc>
        <w:tc>
          <w:tcPr>
            <w:tcW w:w="4674" w:type="dxa"/>
            <w:tcBorders>
              <w:top w:val="single" w:sz="4" w:space="0" w:color="auto"/>
              <w:left w:val="single" w:sz="4" w:space="0" w:color="auto"/>
              <w:bottom w:val="single" w:sz="4" w:space="0" w:color="auto"/>
              <w:right w:val="single" w:sz="4" w:space="0" w:color="auto"/>
            </w:tcBorders>
            <w:vAlign w:val="center"/>
          </w:tcPr>
          <w:p>
            <w:pPr>
              <w:rPr>
                <w:rFonts w:cs="Calibri"/>
                <w:color w:val="000000"/>
              </w:rPr>
            </w:pPr>
            <w:r>
              <w:rPr>
                <w:rFonts w:cs="Arial"/>
                <w:color w:val="000000"/>
              </w:rPr>
              <w:t>Dégradation de surface</w:t>
            </w:r>
          </w:p>
        </w:tc>
        <w:tc>
          <w:tcPr>
            <w:tcW w:w="2410" w:type="dxa"/>
            <w:tcBorders>
              <w:top w:val="single" w:sz="4" w:space="0" w:color="auto"/>
              <w:left w:val="single" w:sz="4" w:space="0" w:color="auto"/>
              <w:bottom w:val="single" w:sz="4" w:space="0" w:color="auto"/>
              <w:right w:val="single" w:sz="4" w:space="0" w:color="auto"/>
            </w:tcBorders>
            <w:vAlign w:val="center"/>
          </w:tcPr>
          <w:p>
            <w:pPr>
              <w:jc w:val="center"/>
              <w:rPr>
                <w:rFonts w:cs="Calibri"/>
                <w:color w:val="000000"/>
              </w:rPr>
            </w:pPr>
            <w:r>
              <w:rPr>
                <w:rFonts w:cs="Arial"/>
                <w:color w:val="000000"/>
              </w:rPr>
              <w:t>1</w:t>
            </w:r>
          </w:p>
        </w:tc>
      </w:tr>
      <w:tr>
        <w:trPr>
          <w:jc w:val="center"/>
        </w:trPr>
        <w:tc>
          <w:tcPr>
            <w:tcW w:w="1955" w:type="dxa"/>
            <w:vMerge/>
            <w:tcBorders>
              <w:left w:val="single" w:sz="4" w:space="0" w:color="auto"/>
              <w:right w:val="single" w:sz="4" w:space="0" w:color="auto"/>
            </w:tcBorders>
            <w:vAlign w:val="center"/>
          </w:tcPr>
          <w:p>
            <w:pPr>
              <w:jc w:val="center"/>
              <w:rPr>
                <w:rFonts w:cs="Arial"/>
                <w:b/>
                <w:bCs/>
              </w:rPr>
            </w:pPr>
          </w:p>
        </w:tc>
        <w:tc>
          <w:tcPr>
            <w:tcW w:w="4674" w:type="dxa"/>
            <w:tcBorders>
              <w:top w:val="single" w:sz="4" w:space="0" w:color="auto"/>
              <w:left w:val="single" w:sz="4" w:space="0" w:color="auto"/>
              <w:bottom w:val="single" w:sz="4" w:space="0" w:color="auto"/>
              <w:right w:val="single" w:sz="4" w:space="0" w:color="auto"/>
            </w:tcBorders>
            <w:vAlign w:val="center"/>
          </w:tcPr>
          <w:p>
            <w:pPr>
              <w:rPr>
                <w:rFonts w:cs="Calibri"/>
                <w:color w:val="000000"/>
              </w:rPr>
            </w:pPr>
            <w:r>
              <w:rPr>
                <w:rFonts w:cs="Arial"/>
                <w:color w:val="000000"/>
              </w:rPr>
              <w:t>Déformation</w:t>
            </w:r>
          </w:p>
        </w:tc>
        <w:tc>
          <w:tcPr>
            <w:tcW w:w="2410" w:type="dxa"/>
            <w:tcBorders>
              <w:top w:val="single" w:sz="4" w:space="0" w:color="auto"/>
              <w:left w:val="single" w:sz="4" w:space="0" w:color="auto"/>
              <w:bottom w:val="single" w:sz="4" w:space="0" w:color="auto"/>
              <w:right w:val="single" w:sz="4" w:space="0" w:color="auto"/>
            </w:tcBorders>
            <w:vAlign w:val="center"/>
          </w:tcPr>
          <w:p>
            <w:pPr>
              <w:jc w:val="center"/>
              <w:rPr>
                <w:rFonts w:cs="Calibri"/>
                <w:color w:val="000000"/>
              </w:rPr>
            </w:pPr>
            <w:r>
              <w:rPr>
                <w:rFonts w:cs="Arial"/>
                <w:color w:val="000000"/>
              </w:rPr>
              <w:t>7</w:t>
            </w:r>
          </w:p>
        </w:tc>
      </w:tr>
      <w:tr>
        <w:trPr>
          <w:jc w:val="center"/>
        </w:trPr>
        <w:tc>
          <w:tcPr>
            <w:tcW w:w="1955" w:type="dxa"/>
            <w:vMerge/>
            <w:tcBorders>
              <w:left w:val="single" w:sz="4" w:space="0" w:color="auto"/>
              <w:bottom w:val="single" w:sz="4" w:space="0" w:color="auto"/>
              <w:right w:val="single" w:sz="4" w:space="0" w:color="auto"/>
            </w:tcBorders>
            <w:vAlign w:val="center"/>
          </w:tcPr>
          <w:p>
            <w:pPr>
              <w:jc w:val="center"/>
              <w:rPr>
                <w:rFonts w:cs="Arial"/>
                <w:b/>
                <w:bCs/>
              </w:rPr>
            </w:pPr>
          </w:p>
        </w:tc>
        <w:tc>
          <w:tcPr>
            <w:tcW w:w="4674" w:type="dxa"/>
            <w:tcBorders>
              <w:top w:val="single" w:sz="4" w:space="0" w:color="auto"/>
              <w:left w:val="single" w:sz="4" w:space="0" w:color="auto"/>
              <w:bottom w:val="single" w:sz="4" w:space="0" w:color="auto"/>
              <w:right w:val="single" w:sz="4" w:space="0" w:color="auto"/>
            </w:tcBorders>
            <w:vAlign w:val="center"/>
          </w:tcPr>
          <w:p>
            <w:pPr>
              <w:rPr>
                <w:rFonts w:cs="Calibri"/>
                <w:color w:val="000000"/>
              </w:rPr>
            </w:pPr>
            <w:r>
              <w:rPr>
                <w:rFonts w:cs="Calibri"/>
                <w:color w:val="000000"/>
              </w:rPr>
              <w:t>Dépôt</w:t>
            </w:r>
          </w:p>
        </w:tc>
        <w:tc>
          <w:tcPr>
            <w:tcW w:w="2410" w:type="dxa"/>
            <w:tcBorders>
              <w:top w:val="single" w:sz="4" w:space="0" w:color="auto"/>
              <w:left w:val="single" w:sz="4" w:space="0" w:color="auto"/>
              <w:bottom w:val="single" w:sz="4" w:space="0" w:color="auto"/>
              <w:right w:val="single" w:sz="4" w:space="0" w:color="auto"/>
            </w:tcBorders>
            <w:vAlign w:val="center"/>
          </w:tcPr>
          <w:p>
            <w:pPr>
              <w:jc w:val="center"/>
              <w:rPr>
                <w:rFonts w:cs="Calibri"/>
                <w:color w:val="000000"/>
              </w:rPr>
            </w:pPr>
            <w:r>
              <w:rPr>
                <w:rFonts w:cs="Calibri"/>
                <w:color w:val="000000"/>
              </w:rPr>
              <w:t>10</w:t>
            </w:r>
          </w:p>
        </w:tc>
      </w:tr>
      <w:tr>
        <w:trPr>
          <w:jc w:val="center"/>
        </w:trPr>
        <w:tc>
          <w:tcPr>
            <w:tcW w:w="1955" w:type="dxa"/>
            <w:tcBorders>
              <w:left w:val="single" w:sz="4" w:space="0" w:color="auto"/>
              <w:bottom w:val="single" w:sz="4" w:space="0" w:color="auto"/>
              <w:right w:val="single" w:sz="4" w:space="0" w:color="auto"/>
            </w:tcBorders>
            <w:vAlign w:val="center"/>
          </w:tcPr>
          <w:p>
            <w:pPr>
              <w:jc w:val="center"/>
              <w:rPr>
                <w:rFonts w:cs="Arial"/>
                <w:b/>
                <w:bCs/>
              </w:rPr>
            </w:pPr>
            <w:r>
              <w:rPr>
                <w:rFonts w:cs="Arial"/>
                <w:b/>
                <w:bCs/>
              </w:rPr>
              <w:t>Amont STEU</w:t>
            </w:r>
          </w:p>
        </w:tc>
        <w:tc>
          <w:tcPr>
            <w:tcW w:w="4674" w:type="dxa"/>
            <w:tcBorders>
              <w:top w:val="single" w:sz="4" w:space="0" w:color="auto"/>
              <w:left w:val="single" w:sz="4" w:space="0" w:color="auto"/>
              <w:bottom w:val="single" w:sz="4" w:space="0" w:color="auto"/>
              <w:right w:val="single" w:sz="4" w:space="0" w:color="auto"/>
            </w:tcBorders>
            <w:vAlign w:val="center"/>
          </w:tcPr>
          <w:p>
            <w:pPr>
              <w:rPr>
                <w:rFonts w:cs="Calibri"/>
                <w:color w:val="000000"/>
              </w:rPr>
            </w:pPr>
            <w:r>
              <w:rPr>
                <w:rFonts w:cs="Calibri"/>
                <w:color w:val="000000"/>
              </w:rPr>
              <w:t>Dépôt</w:t>
            </w:r>
          </w:p>
        </w:tc>
        <w:tc>
          <w:tcPr>
            <w:tcW w:w="2410" w:type="dxa"/>
            <w:tcBorders>
              <w:top w:val="single" w:sz="4" w:space="0" w:color="auto"/>
              <w:left w:val="single" w:sz="4" w:space="0" w:color="auto"/>
              <w:bottom w:val="single" w:sz="4" w:space="0" w:color="auto"/>
              <w:right w:val="single" w:sz="4" w:space="0" w:color="auto"/>
            </w:tcBorders>
            <w:vAlign w:val="center"/>
          </w:tcPr>
          <w:p>
            <w:pPr>
              <w:jc w:val="center"/>
              <w:rPr>
                <w:rFonts w:cs="Calibri"/>
                <w:color w:val="000000"/>
              </w:rPr>
            </w:pPr>
            <w:r>
              <w:rPr>
                <w:rFonts w:cs="Calibri"/>
                <w:color w:val="000000"/>
              </w:rPr>
              <w:t>4</w:t>
            </w:r>
          </w:p>
        </w:tc>
      </w:tr>
      <w:tr>
        <w:trPr>
          <w:jc w:val="center"/>
        </w:trPr>
        <w:tc>
          <w:tcPr>
            <w:tcW w:w="0" w:type="auto"/>
            <w:vMerge w:val="restart"/>
            <w:tcBorders>
              <w:top w:val="single" w:sz="4" w:space="0" w:color="auto"/>
              <w:left w:val="single" w:sz="4" w:space="0" w:color="auto"/>
              <w:right w:val="single" w:sz="4" w:space="0" w:color="auto"/>
            </w:tcBorders>
            <w:vAlign w:val="center"/>
          </w:tcPr>
          <w:p>
            <w:pPr>
              <w:jc w:val="center"/>
              <w:rPr>
                <w:rFonts w:cs="Arial"/>
                <w:color w:val="000000"/>
              </w:rPr>
            </w:pPr>
            <w:r>
              <w:rPr>
                <w:rFonts w:cs="Arial"/>
                <w:b/>
                <w:bCs/>
              </w:rPr>
              <w:lastRenderedPageBreak/>
              <w:t>TOTAL</w:t>
            </w:r>
          </w:p>
        </w:tc>
        <w:tc>
          <w:tcPr>
            <w:tcW w:w="4674" w:type="dxa"/>
            <w:tcBorders>
              <w:top w:val="single" w:sz="4" w:space="0" w:color="auto"/>
              <w:left w:val="single" w:sz="4" w:space="0" w:color="auto"/>
              <w:bottom w:val="single" w:sz="4" w:space="0" w:color="auto"/>
              <w:right w:val="single" w:sz="4" w:space="0" w:color="auto"/>
            </w:tcBorders>
            <w:vAlign w:val="center"/>
          </w:tcPr>
          <w:p>
            <w:pPr>
              <w:rPr>
                <w:rFonts w:cs="Calibri"/>
                <w:color w:val="000000"/>
              </w:rPr>
            </w:pPr>
            <w:r>
              <w:rPr>
                <w:rFonts w:cs="Arial"/>
                <w:color w:val="000000"/>
              </w:rPr>
              <w:t>Racine</w:t>
            </w:r>
          </w:p>
        </w:tc>
        <w:tc>
          <w:tcPr>
            <w:tcW w:w="2410" w:type="dxa"/>
            <w:tcBorders>
              <w:top w:val="single" w:sz="4" w:space="0" w:color="auto"/>
              <w:left w:val="single" w:sz="4" w:space="0" w:color="auto"/>
              <w:bottom w:val="single" w:sz="4" w:space="0" w:color="auto"/>
              <w:right w:val="single" w:sz="4" w:space="0" w:color="auto"/>
            </w:tcBorders>
            <w:vAlign w:val="center"/>
          </w:tcPr>
          <w:p>
            <w:pPr>
              <w:jc w:val="center"/>
              <w:rPr>
                <w:rFonts w:cs="Calibri"/>
                <w:color w:val="000000"/>
              </w:rPr>
            </w:pPr>
            <w:r>
              <w:rPr>
                <w:rFonts w:cs="Arial"/>
                <w:color w:val="000000"/>
              </w:rPr>
              <w:t>1</w:t>
            </w:r>
          </w:p>
        </w:tc>
      </w:tr>
      <w:tr>
        <w:trPr>
          <w:jc w:val="center"/>
        </w:trPr>
        <w:tc>
          <w:tcPr>
            <w:tcW w:w="0" w:type="auto"/>
            <w:vMerge/>
            <w:tcBorders>
              <w:left w:val="single" w:sz="4" w:space="0" w:color="auto"/>
              <w:right w:val="single" w:sz="4" w:space="0" w:color="auto"/>
            </w:tcBorders>
            <w:vAlign w:val="center"/>
          </w:tcPr>
          <w:p>
            <w:pPr>
              <w:spacing w:before="0"/>
              <w:jc w:val="left"/>
              <w:rPr>
                <w:rFonts w:cs="Arial"/>
                <w:color w:val="000000"/>
              </w:rPr>
            </w:pPr>
          </w:p>
        </w:tc>
        <w:tc>
          <w:tcPr>
            <w:tcW w:w="4674" w:type="dxa"/>
            <w:tcBorders>
              <w:top w:val="single" w:sz="4" w:space="0" w:color="auto"/>
              <w:left w:val="single" w:sz="4" w:space="0" w:color="auto"/>
              <w:bottom w:val="single" w:sz="4" w:space="0" w:color="auto"/>
              <w:right w:val="single" w:sz="4" w:space="0" w:color="auto"/>
            </w:tcBorders>
            <w:vAlign w:val="center"/>
          </w:tcPr>
          <w:p>
            <w:pPr>
              <w:rPr>
                <w:rFonts w:cs="Calibri"/>
                <w:color w:val="000000"/>
              </w:rPr>
            </w:pPr>
            <w:r>
              <w:rPr>
                <w:rFonts w:cs="Arial"/>
                <w:color w:val="000000"/>
              </w:rPr>
              <w:t>Fissure</w:t>
            </w:r>
          </w:p>
        </w:tc>
        <w:tc>
          <w:tcPr>
            <w:tcW w:w="2410" w:type="dxa"/>
            <w:tcBorders>
              <w:top w:val="single" w:sz="4" w:space="0" w:color="auto"/>
              <w:left w:val="single" w:sz="4" w:space="0" w:color="auto"/>
              <w:bottom w:val="single" w:sz="4" w:space="0" w:color="auto"/>
              <w:right w:val="single" w:sz="4" w:space="0" w:color="auto"/>
            </w:tcBorders>
            <w:vAlign w:val="center"/>
          </w:tcPr>
          <w:p>
            <w:pPr>
              <w:jc w:val="center"/>
              <w:rPr>
                <w:rFonts w:cs="Calibri"/>
                <w:color w:val="000000"/>
              </w:rPr>
            </w:pPr>
            <w:r>
              <w:rPr>
                <w:rFonts w:cs="Arial"/>
                <w:color w:val="000000"/>
              </w:rPr>
              <w:t>3</w:t>
            </w:r>
          </w:p>
        </w:tc>
      </w:tr>
      <w:tr>
        <w:trPr>
          <w:jc w:val="center"/>
        </w:trPr>
        <w:tc>
          <w:tcPr>
            <w:tcW w:w="0" w:type="auto"/>
            <w:vMerge/>
            <w:tcBorders>
              <w:left w:val="single" w:sz="4" w:space="0" w:color="auto"/>
              <w:right w:val="single" w:sz="4" w:space="0" w:color="auto"/>
            </w:tcBorders>
            <w:vAlign w:val="center"/>
          </w:tcPr>
          <w:p>
            <w:pPr>
              <w:spacing w:before="0"/>
              <w:jc w:val="left"/>
              <w:rPr>
                <w:rFonts w:cs="Arial"/>
                <w:color w:val="000000"/>
              </w:rPr>
            </w:pPr>
          </w:p>
        </w:tc>
        <w:tc>
          <w:tcPr>
            <w:tcW w:w="4674" w:type="dxa"/>
            <w:tcBorders>
              <w:top w:val="single" w:sz="4" w:space="0" w:color="auto"/>
              <w:left w:val="single" w:sz="4" w:space="0" w:color="auto"/>
              <w:bottom w:val="single" w:sz="4" w:space="0" w:color="auto"/>
              <w:right w:val="single" w:sz="4" w:space="0" w:color="auto"/>
            </w:tcBorders>
            <w:vAlign w:val="center"/>
          </w:tcPr>
          <w:p>
            <w:pPr>
              <w:rPr>
                <w:rFonts w:cs="Calibri"/>
                <w:color w:val="000000"/>
              </w:rPr>
            </w:pPr>
            <w:r>
              <w:rPr>
                <w:rFonts w:cs="Arial"/>
                <w:color w:val="000000"/>
              </w:rPr>
              <w:t>Effondrement</w:t>
            </w:r>
          </w:p>
        </w:tc>
        <w:tc>
          <w:tcPr>
            <w:tcW w:w="2410" w:type="dxa"/>
            <w:tcBorders>
              <w:top w:val="single" w:sz="4" w:space="0" w:color="auto"/>
              <w:left w:val="single" w:sz="4" w:space="0" w:color="auto"/>
              <w:bottom w:val="single" w:sz="4" w:space="0" w:color="auto"/>
              <w:right w:val="single" w:sz="4" w:space="0" w:color="auto"/>
            </w:tcBorders>
            <w:vAlign w:val="center"/>
          </w:tcPr>
          <w:p>
            <w:pPr>
              <w:jc w:val="center"/>
              <w:rPr>
                <w:rFonts w:cs="Calibri"/>
                <w:color w:val="000000"/>
              </w:rPr>
            </w:pPr>
            <w:r>
              <w:rPr>
                <w:rFonts w:cs="Arial"/>
                <w:color w:val="000000"/>
              </w:rPr>
              <w:t>3</w:t>
            </w:r>
          </w:p>
        </w:tc>
      </w:tr>
      <w:tr>
        <w:trPr>
          <w:jc w:val="center"/>
        </w:trPr>
        <w:tc>
          <w:tcPr>
            <w:tcW w:w="0" w:type="auto"/>
            <w:vMerge/>
            <w:tcBorders>
              <w:left w:val="single" w:sz="4" w:space="0" w:color="auto"/>
              <w:right w:val="single" w:sz="4" w:space="0" w:color="auto"/>
            </w:tcBorders>
            <w:vAlign w:val="center"/>
          </w:tcPr>
          <w:p>
            <w:pPr>
              <w:spacing w:before="0"/>
              <w:jc w:val="left"/>
              <w:rPr>
                <w:rFonts w:cs="Arial"/>
                <w:color w:val="000000"/>
              </w:rPr>
            </w:pPr>
          </w:p>
        </w:tc>
        <w:tc>
          <w:tcPr>
            <w:tcW w:w="4674" w:type="dxa"/>
            <w:tcBorders>
              <w:top w:val="single" w:sz="4" w:space="0" w:color="auto"/>
              <w:left w:val="single" w:sz="4" w:space="0" w:color="auto"/>
              <w:bottom w:val="single" w:sz="4" w:space="0" w:color="auto"/>
              <w:right w:val="single" w:sz="4" w:space="0" w:color="auto"/>
            </w:tcBorders>
            <w:vAlign w:val="center"/>
          </w:tcPr>
          <w:p>
            <w:pPr>
              <w:rPr>
                <w:rFonts w:cs="Calibri"/>
                <w:color w:val="000000"/>
              </w:rPr>
            </w:pPr>
            <w:r>
              <w:rPr>
                <w:rFonts w:cs="Arial"/>
                <w:color w:val="000000"/>
              </w:rPr>
              <w:t>Dégradation de surface</w:t>
            </w:r>
          </w:p>
        </w:tc>
        <w:tc>
          <w:tcPr>
            <w:tcW w:w="2410" w:type="dxa"/>
            <w:tcBorders>
              <w:top w:val="single" w:sz="4" w:space="0" w:color="auto"/>
              <w:left w:val="single" w:sz="4" w:space="0" w:color="auto"/>
              <w:bottom w:val="single" w:sz="4" w:space="0" w:color="auto"/>
              <w:right w:val="single" w:sz="4" w:space="0" w:color="auto"/>
            </w:tcBorders>
            <w:vAlign w:val="center"/>
          </w:tcPr>
          <w:p>
            <w:pPr>
              <w:jc w:val="center"/>
              <w:rPr>
                <w:rFonts w:cs="Calibri"/>
                <w:color w:val="000000"/>
              </w:rPr>
            </w:pPr>
            <w:r>
              <w:rPr>
                <w:rFonts w:cs="Arial"/>
                <w:color w:val="000000"/>
              </w:rPr>
              <w:t>2</w:t>
            </w:r>
          </w:p>
        </w:tc>
      </w:tr>
      <w:tr>
        <w:trPr>
          <w:jc w:val="center"/>
        </w:trPr>
        <w:tc>
          <w:tcPr>
            <w:tcW w:w="0" w:type="auto"/>
            <w:vMerge/>
            <w:tcBorders>
              <w:left w:val="single" w:sz="4" w:space="0" w:color="auto"/>
              <w:right w:val="single" w:sz="4" w:space="0" w:color="auto"/>
            </w:tcBorders>
            <w:vAlign w:val="center"/>
          </w:tcPr>
          <w:p>
            <w:pPr>
              <w:spacing w:before="0"/>
              <w:jc w:val="left"/>
              <w:rPr>
                <w:rFonts w:cs="Arial"/>
                <w:color w:val="000000"/>
              </w:rPr>
            </w:pPr>
          </w:p>
        </w:tc>
        <w:tc>
          <w:tcPr>
            <w:tcW w:w="4674" w:type="dxa"/>
            <w:tcBorders>
              <w:top w:val="single" w:sz="4" w:space="0" w:color="auto"/>
              <w:left w:val="single" w:sz="4" w:space="0" w:color="auto"/>
              <w:bottom w:val="single" w:sz="4" w:space="0" w:color="auto"/>
              <w:right w:val="single" w:sz="4" w:space="0" w:color="auto"/>
            </w:tcBorders>
            <w:vAlign w:val="center"/>
          </w:tcPr>
          <w:p>
            <w:pPr>
              <w:rPr>
                <w:rFonts w:cs="Calibri"/>
                <w:color w:val="000000"/>
              </w:rPr>
            </w:pPr>
            <w:r>
              <w:rPr>
                <w:rFonts w:cs="Arial"/>
                <w:color w:val="000000"/>
              </w:rPr>
              <w:t>Déformation</w:t>
            </w:r>
          </w:p>
        </w:tc>
        <w:tc>
          <w:tcPr>
            <w:tcW w:w="2410" w:type="dxa"/>
            <w:tcBorders>
              <w:top w:val="single" w:sz="4" w:space="0" w:color="auto"/>
              <w:left w:val="single" w:sz="4" w:space="0" w:color="auto"/>
              <w:bottom w:val="single" w:sz="4" w:space="0" w:color="auto"/>
              <w:right w:val="single" w:sz="4" w:space="0" w:color="auto"/>
            </w:tcBorders>
            <w:vAlign w:val="center"/>
          </w:tcPr>
          <w:p>
            <w:pPr>
              <w:jc w:val="center"/>
              <w:rPr>
                <w:rFonts w:cs="Calibri"/>
                <w:color w:val="000000"/>
              </w:rPr>
            </w:pPr>
            <w:r>
              <w:rPr>
                <w:rFonts w:cs="Arial"/>
                <w:color w:val="000000"/>
              </w:rPr>
              <w:t>20</w:t>
            </w:r>
          </w:p>
        </w:tc>
      </w:tr>
      <w:tr>
        <w:trPr>
          <w:jc w:val="center"/>
        </w:trPr>
        <w:tc>
          <w:tcPr>
            <w:tcW w:w="0" w:type="auto"/>
            <w:vMerge/>
            <w:tcBorders>
              <w:left w:val="single" w:sz="4" w:space="0" w:color="auto"/>
              <w:right w:val="single" w:sz="4" w:space="0" w:color="auto"/>
            </w:tcBorders>
            <w:vAlign w:val="center"/>
          </w:tcPr>
          <w:p>
            <w:pPr>
              <w:spacing w:before="0"/>
              <w:jc w:val="left"/>
              <w:rPr>
                <w:rFonts w:cs="Arial"/>
                <w:color w:val="000000"/>
              </w:rPr>
            </w:pPr>
          </w:p>
        </w:tc>
        <w:tc>
          <w:tcPr>
            <w:tcW w:w="4674" w:type="dxa"/>
            <w:tcBorders>
              <w:top w:val="single" w:sz="4" w:space="0" w:color="auto"/>
              <w:left w:val="single" w:sz="4" w:space="0" w:color="auto"/>
              <w:bottom w:val="single" w:sz="4" w:space="0" w:color="auto"/>
              <w:right w:val="single" w:sz="4" w:space="0" w:color="auto"/>
            </w:tcBorders>
            <w:vAlign w:val="center"/>
          </w:tcPr>
          <w:p>
            <w:pPr>
              <w:rPr>
                <w:rFonts w:cs="Calibri"/>
                <w:color w:val="000000"/>
              </w:rPr>
            </w:pPr>
            <w:r>
              <w:rPr>
                <w:rFonts w:cs="Arial"/>
                <w:color w:val="000000"/>
              </w:rPr>
              <w:t>Déplacement</w:t>
            </w:r>
          </w:p>
        </w:tc>
        <w:tc>
          <w:tcPr>
            <w:tcW w:w="2410" w:type="dxa"/>
            <w:tcBorders>
              <w:top w:val="single" w:sz="4" w:space="0" w:color="auto"/>
              <w:left w:val="single" w:sz="4" w:space="0" w:color="auto"/>
              <w:bottom w:val="single" w:sz="4" w:space="0" w:color="auto"/>
              <w:right w:val="single" w:sz="4" w:space="0" w:color="auto"/>
            </w:tcBorders>
            <w:vAlign w:val="center"/>
          </w:tcPr>
          <w:p>
            <w:pPr>
              <w:jc w:val="center"/>
              <w:rPr>
                <w:rFonts w:cs="Calibri"/>
                <w:color w:val="000000"/>
              </w:rPr>
            </w:pPr>
            <w:r>
              <w:rPr>
                <w:rFonts w:cs="Arial"/>
                <w:color w:val="000000"/>
              </w:rPr>
              <w:t>2</w:t>
            </w:r>
          </w:p>
        </w:tc>
      </w:tr>
      <w:tr>
        <w:trPr>
          <w:jc w:val="center"/>
        </w:trPr>
        <w:tc>
          <w:tcPr>
            <w:tcW w:w="0" w:type="auto"/>
            <w:vMerge/>
            <w:tcBorders>
              <w:left w:val="single" w:sz="4" w:space="0" w:color="auto"/>
              <w:right w:val="single" w:sz="4" w:space="0" w:color="auto"/>
            </w:tcBorders>
            <w:vAlign w:val="center"/>
          </w:tcPr>
          <w:p>
            <w:pPr>
              <w:spacing w:before="0"/>
              <w:jc w:val="left"/>
              <w:rPr>
                <w:rFonts w:cs="Arial"/>
                <w:color w:val="000000"/>
              </w:rPr>
            </w:pPr>
          </w:p>
        </w:tc>
        <w:tc>
          <w:tcPr>
            <w:tcW w:w="4674" w:type="dxa"/>
            <w:tcBorders>
              <w:top w:val="single" w:sz="4" w:space="0" w:color="auto"/>
              <w:left w:val="single" w:sz="4" w:space="0" w:color="auto"/>
              <w:bottom w:val="single" w:sz="4" w:space="0" w:color="auto"/>
              <w:right w:val="single" w:sz="4" w:space="0" w:color="auto"/>
            </w:tcBorders>
            <w:vAlign w:val="center"/>
          </w:tcPr>
          <w:p>
            <w:pPr>
              <w:rPr>
                <w:rFonts w:cs="Calibri"/>
                <w:color w:val="000000"/>
              </w:rPr>
            </w:pPr>
            <w:r>
              <w:rPr>
                <w:rFonts w:cs="Calibri"/>
                <w:color w:val="000000"/>
              </w:rPr>
              <w:t>Dépôt</w:t>
            </w:r>
          </w:p>
        </w:tc>
        <w:tc>
          <w:tcPr>
            <w:tcW w:w="2410" w:type="dxa"/>
            <w:tcBorders>
              <w:top w:val="single" w:sz="4" w:space="0" w:color="auto"/>
              <w:left w:val="single" w:sz="4" w:space="0" w:color="auto"/>
              <w:bottom w:val="single" w:sz="4" w:space="0" w:color="auto"/>
              <w:right w:val="single" w:sz="4" w:space="0" w:color="auto"/>
            </w:tcBorders>
            <w:vAlign w:val="center"/>
          </w:tcPr>
          <w:p>
            <w:pPr>
              <w:jc w:val="center"/>
              <w:rPr>
                <w:rFonts w:cs="Calibri"/>
                <w:color w:val="000000"/>
              </w:rPr>
            </w:pPr>
            <w:r>
              <w:rPr>
                <w:rFonts w:cs="Calibri"/>
                <w:color w:val="000000"/>
              </w:rPr>
              <w:t>28</w:t>
            </w:r>
          </w:p>
        </w:tc>
      </w:tr>
    </w:tbl>
    <w:p>
      <w:pPr>
        <w:pStyle w:val="Lgende"/>
        <w:jc w:val="center"/>
      </w:pPr>
      <w:bookmarkStart w:id="25" w:name="_Toc71550319"/>
      <w:r>
        <w:t xml:space="preserve"> Synthèse des différentes anomalies rencontrées lors du passage caméra</w:t>
      </w:r>
      <w:bookmarkEnd w:id="25"/>
    </w:p>
    <w:p>
      <w:pPr>
        <w:pStyle w:val="Lgende"/>
        <w:jc w:val="center"/>
      </w:pPr>
    </w:p>
    <w:p>
      <w:pPr>
        <w:pStyle w:val="Titre2"/>
      </w:pPr>
      <w:bookmarkStart w:id="26" w:name="_Toc71550293"/>
      <w:bookmarkStart w:id="27" w:name="_Toc92700757"/>
      <w:r>
        <w:t>Bilan des Charges</w:t>
      </w:r>
      <w:bookmarkEnd w:id="27"/>
      <w:r>
        <w:t xml:space="preserve"> </w:t>
      </w:r>
      <w:bookmarkEnd w:id="26"/>
    </w:p>
    <w:p>
      <w:r>
        <w:t>Le tableau ci-dessous précise les charges hydraulique (m3/j) et polluante (DBO</w:t>
      </w:r>
      <w:r>
        <w:rPr>
          <w:vertAlign w:val="subscript"/>
        </w:rPr>
        <w:t>5</w:t>
      </w:r>
      <w:r>
        <w:t>) converties en équivalent habitant :</w:t>
      </w:r>
    </w:p>
    <w:p/>
    <w:tbl>
      <w:tblPr>
        <w:tblW w:w="0" w:type="auto"/>
        <w:tblInd w:w="55" w:type="dxa"/>
        <w:tblLayout w:type="fixed"/>
        <w:tblCellMar>
          <w:left w:w="70" w:type="dxa"/>
          <w:right w:w="70" w:type="dxa"/>
        </w:tblCellMar>
        <w:tblLook w:val="04A0" w:firstRow="1" w:lastRow="0" w:firstColumn="1" w:lastColumn="0" w:noHBand="0" w:noVBand="1"/>
      </w:tblPr>
      <w:tblGrid>
        <w:gridCol w:w="2283"/>
        <w:gridCol w:w="1370"/>
        <w:gridCol w:w="1370"/>
        <w:gridCol w:w="1371"/>
        <w:gridCol w:w="1551"/>
        <w:gridCol w:w="1551"/>
      </w:tblGrid>
      <w:tr>
        <w:trPr>
          <w:trHeight w:val="300"/>
        </w:trPr>
        <w:tc>
          <w:tcPr>
            <w:tcW w:w="2283" w:type="dxa"/>
            <w:tcBorders>
              <w:top w:val="nil"/>
              <w:left w:val="nil"/>
              <w:bottom w:val="nil"/>
              <w:right w:val="nil"/>
            </w:tcBorders>
            <w:shd w:val="clear" w:color="auto" w:fill="auto"/>
            <w:noWrap/>
            <w:vAlign w:val="bottom"/>
            <w:hideMark/>
          </w:tcPr>
          <w:p>
            <w:pPr>
              <w:spacing w:before="0"/>
              <w:jc w:val="left"/>
              <w:rPr>
                <w:rFonts w:ascii="Calibri" w:hAnsi="Calibri" w:cs="Calibri"/>
                <w:color w:val="000000"/>
                <w:sz w:val="22"/>
                <w:szCs w:val="22"/>
              </w:rPr>
            </w:pPr>
          </w:p>
        </w:tc>
        <w:tc>
          <w:tcPr>
            <w:tcW w:w="4111" w:type="dxa"/>
            <w:gridSpan w:val="3"/>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bottom"/>
            <w:hideMark/>
          </w:tcPr>
          <w:p>
            <w:pPr>
              <w:jc w:val="center"/>
              <w:rPr>
                <w:b/>
              </w:rPr>
            </w:pPr>
            <w:r>
              <w:rPr>
                <w:b/>
              </w:rPr>
              <w:t>Entrée dans le système</w:t>
            </w:r>
          </w:p>
        </w:tc>
        <w:tc>
          <w:tcPr>
            <w:tcW w:w="3102" w:type="dxa"/>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pPr>
              <w:jc w:val="center"/>
              <w:rPr>
                <w:b/>
              </w:rPr>
            </w:pPr>
            <w:r>
              <w:rPr>
                <w:b/>
              </w:rPr>
              <w:t>Sortie du système</w:t>
            </w:r>
          </w:p>
        </w:tc>
      </w:tr>
      <w:tr>
        <w:trPr>
          <w:trHeight w:val="300"/>
        </w:trPr>
        <w:tc>
          <w:tcPr>
            <w:tcW w:w="2283" w:type="dxa"/>
            <w:tcBorders>
              <w:top w:val="single" w:sz="4" w:space="0" w:color="auto"/>
              <w:left w:val="single" w:sz="4" w:space="0" w:color="auto"/>
              <w:bottom w:val="single" w:sz="4" w:space="0" w:color="auto"/>
              <w:right w:val="single" w:sz="4" w:space="0" w:color="auto"/>
            </w:tcBorders>
            <w:shd w:val="clear" w:color="000000" w:fill="DBE5F1" w:themeFill="accent1" w:themeFillTint="33"/>
            <w:vAlign w:val="center"/>
            <w:hideMark/>
          </w:tcPr>
          <w:p>
            <w:pPr>
              <w:spacing w:before="0"/>
              <w:jc w:val="center"/>
              <w:rPr>
                <w:rFonts w:cs="Calibri"/>
                <w:b/>
                <w:color w:val="000000"/>
              </w:rPr>
            </w:pPr>
            <w:r>
              <w:rPr>
                <w:rFonts w:cs="Calibri"/>
                <w:b/>
                <w:color w:val="000000"/>
              </w:rPr>
              <w:t>Paramètres</w:t>
            </w:r>
          </w:p>
        </w:tc>
        <w:tc>
          <w:tcPr>
            <w:tcW w:w="1370" w:type="dxa"/>
            <w:tcBorders>
              <w:top w:val="nil"/>
              <w:left w:val="nil"/>
              <w:bottom w:val="single" w:sz="4" w:space="0" w:color="auto"/>
              <w:right w:val="single" w:sz="4" w:space="0" w:color="auto"/>
            </w:tcBorders>
            <w:shd w:val="clear" w:color="000000" w:fill="DBE5F1" w:themeFill="accent1" w:themeFillTint="33"/>
            <w:vAlign w:val="center"/>
            <w:hideMark/>
          </w:tcPr>
          <w:p>
            <w:pPr>
              <w:spacing w:before="0"/>
              <w:jc w:val="center"/>
              <w:rPr>
                <w:rFonts w:cs="Calibri"/>
                <w:b/>
                <w:color w:val="000000"/>
              </w:rPr>
            </w:pPr>
            <w:r>
              <w:rPr>
                <w:rFonts w:cs="Calibri"/>
                <w:b/>
                <w:color w:val="000000"/>
              </w:rPr>
              <w:t>Saint-</w:t>
            </w:r>
            <w:proofErr w:type="spellStart"/>
            <w:r>
              <w:rPr>
                <w:rFonts w:cs="Calibri"/>
                <w:b/>
                <w:color w:val="000000"/>
              </w:rPr>
              <w:t>Gervasy</w:t>
            </w:r>
            <w:proofErr w:type="spellEnd"/>
          </w:p>
        </w:tc>
        <w:tc>
          <w:tcPr>
            <w:tcW w:w="1370" w:type="dxa"/>
            <w:tcBorders>
              <w:top w:val="nil"/>
              <w:left w:val="nil"/>
              <w:bottom w:val="single" w:sz="4" w:space="0" w:color="auto"/>
              <w:right w:val="single" w:sz="4" w:space="0" w:color="auto"/>
            </w:tcBorders>
            <w:shd w:val="clear" w:color="000000" w:fill="DBE5F1" w:themeFill="accent1" w:themeFillTint="33"/>
            <w:vAlign w:val="center"/>
            <w:hideMark/>
          </w:tcPr>
          <w:p>
            <w:pPr>
              <w:spacing w:before="0"/>
              <w:jc w:val="center"/>
              <w:rPr>
                <w:rFonts w:cs="Calibri"/>
                <w:b/>
                <w:color w:val="000000"/>
              </w:rPr>
            </w:pPr>
            <w:proofErr w:type="spellStart"/>
            <w:r>
              <w:rPr>
                <w:rFonts w:cs="Calibri"/>
                <w:b/>
                <w:color w:val="000000"/>
              </w:rPr>
              <w:t>Bezouce</w:t>
            </w:r>
            <w:proofErr w:type="spellEnd"/>
          </w:p>
        </w:tc>
        <w:tc>
          <w:tcPr>
            <w:tcW w:w="1371" w:type="dxa"/>
            <w:tcBorders>
              <w:top w:val="nil"/>
              <w:left w:val="nil"/>
              <w:bottom w:val="single" w:sz="4" w:space="0" w:color="auto"/>
              <w:right w:val="single" w:sz="4" w:space="0" w:color="auto"/>
            </w:tcBorders>
            <w:shd w:val="clear" w:color="000000" w:fill="DBE5F1" w:themeFill="accent1" w:themeFillTint="33"/>
            <w:vAlign w:val="center"/>
            <w:hideMark/>
          </w:tcPr>
          <w:p>
            <w:pPr>
              <w:spacing w:before="0"/>
              <w:jc w:val="center"/>
              <w:rPr>
                <w:rFonts w:cs="Calibri"/>
                <w:b/>
                <w:color w:val="000000"/>
              </w:rPr>
            </w:pPr>
            <w:proofErr w:type="spellStart"/>
            <w:r>
              <w:rPr>
                <w:rFonts w:cs="Calibri"/>
                <w:b/>
                <w:color w:val="000000"/>
              </w:rPr>
              <w:t>Cabrières</w:t>
            </w:r>
            <w:proofErr w:type="spellEnd"/>
          </w:p>
        </w:tc>
        <w:tc>
          <w:tcPr>
            <w:tcW w:w="1551" w:type="dxa"/>
            <w:tcBorders>
              <w:top w:val="nil"/>
              <w:left w:val="nil"/>
              <w:bottom w:val="single" w:sz="4" w:space="0" w:color="auto"/>
              <w:right w:val="single" w:sz="4" w:space="0" w:color="auto"/>
            </w:tcBorders>
            <w:shd w:val="clear" w:color="000000" w:fill="DBE5F1" w:themeFill="accent1" w:themeFillTint="33"/>
            <w:vAlign w:val="center"/>
            <w:hideMark/>
          </w:tcPr>
          <w:p>
            <w:pPr>
              <w:spacing w:before="0"/>
              <w:jc w:val="center"/>
              <w:rPr>
                <w:rFonts w:cs="Calibri"/>
                <w:b/>
                <w:color w:val="000000"/>
              </w:rPr>
            </w:pPr>
            <w:r>
              <w:rPr>
                <w:rFonts w:cs="Calibri"/>
                <w:b/>
                <w:color w:val="000000"/>
              </w:rPr>
              <w:t>Régulateur</w:t>
            </w:r>
          </w:p>
        </w:tc>
        <w:tc>
          <w:tcPr>
            <w:tcW w:w="1551" w:type="dxa"/>
            <w:tcBorders>
              <w:top w:val="nil"/>
              <w:left w:val="nil"/>
              <w:bottom w:val="single" w:sz="4" w:space="0" w:color="auto"/>
              <w:right w:val="single" w:sz="4" w:space="0" w:color="auto"/>
            </w:tcBorders>
            <w:shd w:val="clear" w:color="000000" w:fill="DBE5F1" w:themeFill="accent1" w:themeFillTint="33"/>
            <w:vAlign w:val="center"/>
            <w:hideMark/>
          </w:tcPr>
          <w:p>
            <w:pPr>
              <w:spacing w:before="0"/>
              <w:jc w:val="center"/>
              <w:rPr>
                <w:rFonts w:cs="Calibri"/>
                <w:b/>
                <w:color w:val="000000"/>
              </w:rPr>
            </w:pPr>
            <w:r>
              <w:rPr>
                <w:rFonts w:cs="Calibri"/>
                <w:b/>
                <w:color w:val="000000"/>
              </w:rPr>
              <w:t>STEU</w:t>
            </w:r>
          </w:p>
        </w:tc>
      </w:tr>
      <w:tr>
        <w:trPr>
          <w:trHeight w:val="551"/>
        </w:trPr>
        <w:tc>
          <w:tcPr>
            <w:tcW w:w="2283" w:type="dxa"/>
            <w:tcBorders>
              <w:top w:val="nil"/>
              <w:left w:val="single" w:sz="4" w:space="0" w:color="auto"/>
              <w:bottom w:val="single" w:sz="4" w:space="0" w:color="auto"/>
              <w:right w:val="single" w:sz="4" w:space="0" w:color="auto"/>
            </w:tcBorders>
            <w:shd w:val="clear" w:color="auto" w:fill="auto"/>
            <w:vAlign w:val="center"/>
            <w:hideMark/>
          </w:tcPr>
          <w:p>
            <w:pPr>
              <w:jc w:val="left"/>
            </w:pPr>
            <w:r>
              <w:t>Charge théorique (EH)</w:t>
            </w:r>
          </w:p>
        </w:tc>
        <w:tc>
          <w:tcPr>
            <w:tcW w:w="1370" w:type="dxa"/>
            <w:tcBorders>
              <w:top w:val="nil"/>
              <w:left w:val="nil"/>
              <w:bottom w:val="single" w:sz="4" w:space="0" w:color="auto"/>
              <w:right w:val="single" w:sz="4" w:space="0" w:color="auto"/>
            </w:tcBorders>
            <w:shd w:val="clear" w:color="auto" w:fill="auto"/>
            <w:vAlign w:val="center"/>
            <w:hideMark/>
          </w:tcPr>
          <w:p>
            <w:pPr>
              <w:jc w:val="center"/>
            </w:pPr>
            <w:r>
              <w:t>1777</w:t>
            </w:r>
          </w:p>
        </w:tc>
        <w:tc>
          <w:tcPr>
            <w:tcW w:w="1370" w:type="dxa"/>
            <w:tcBorders>
              <w:top w:val="nil"/>
              <w:left w:val="nil"/>
              <w:bottom w:val="single" w:sz="4" w:space="0" w:color="auto"/>
              <w:right w:val="single" w:sz="4" w:space="0" w:color="auto"/>
            </w:tcBorders>
            <w:shd w:val="clear" w:color="auto" w:fill="auto"/>
            <w:vAlign w:val="center"/>
            <w:hideMark/>
          </w:tcPr>
          <w:p>
            <w:pPr>
              <w:jc w:val="center"/>
            </w:pPr>
            <w:r>
              <w:t>2397</w:t>
            </w:r>
          </w:p>
        </w:tc>
        <w:tc>
          <w:tcPr>
            <w:tcW w:w="1371" w:type="dxa"/>
            <w:tcBorders>
              <w:top w:val="nil"/>
              <w:left w:val="nil"/>
              <w:bottom w:val="single" w:sz="4" w:space="0" w:color="auto"/>
              <w:right w:val="single" w:sz="4" w:space="0" w:color="auto"/>
            </w:tcBorders>
            <w:shd w:val="clear" w:color="auto" w:fill="auto"/>
            <w:vAlign w:val="center"/>
            <w:hideMark/>
          </w:tcPr>
          <w:p>
            <w:pPr>
              <w:jc w:val="center"/>
            </w:pPr>
            <w:r>
              <w:t>1260</w:t>
            </w:r>
          </w:p>
        </w:tc>
        <w:tc>
          <w:tcPr>
            <w:tcW w:w="3102" w:type="dxa"/>
            <w:gridSpan w:val="2"/>
            <w:tcBorders>
              <w:top w:val="nil"/>
              <w:left w:val="nil"/>
              <w:bottom w:val="single" w:sz="4" w:space="0" w:color="auto"/>
              <w:right w:val="single" w:sz="4" w:space="0" w:color="auto"/>
            </w:tcBorders>
            <w:shd w:val="clear" w:color="auto" w:fill="auto"/>
            <w:noWrap/>
            <w:vAlign w:val="center"/>
            <w:hideMark/>
          </w:tcPr>
          <w:p>
            <w:pPr>
              <w:jc w:val="center"/>
            </w:pPr>
            <w:r>
              <w:t>5434</w:t>
            </w:r>
          </w:p>
        </w:tc>
      </w:tr>
      <w:tr>
        <w:trPr>
          <w:trHeight w:val="559"/>
        </w:trPr>
        <w:tc>
          <w:tcPr>
            <w:tcW w:w="2283" w:type="dxa"/>
            <w:tcBorders>
              <w:top w:val="nil"/>
              <w:left w:val="single" w:sz="4" w:space="0" w:color="auto"/>
              <w:bottom w:val="single" w:sz="4" w:space="0" w:color="auto"/>
              <w:right w:val="single" w:sz="4" w:space="0" w:color="auto"/>
            </w:tcBorders>
            <w:shd w:val="clear" w:color="auto" w:fill="auto"/>
            <w:vAlign w:val="center"/>
            <w:hideMark/>
          </w:tcPr>
          <w:p>
            <w:pPr>
              <w:jc w:val="left"/>
            </w:pPr>
            <w:r>
              <w:t>Charge hydraulique (EH)</w:t>
            </w:r>
          </w:p>
        </w:tc>
        <w:tc>
          <w:tcPr>
            <w:tcW w:w="1370" w:type="dxa"/>
            <w:tcBorders>
              <w:top w:val="nil"/>
              <w:left w:val="nil"/>
              <w:bottom w:val="single" w:sz="4" w:space="0" w:color="auto"/>
              <w:right w:val="single" w:sz="4" w:space="0" w:color="auto"/>
            </w:tcBorders>
            <w:shd w:val="clear" w:color="auto" w:fill="auto"/>
            <w:vAlign w:val="center"/>
            <w:hideMark/>
          </w:tcPr>
          <w:p>
            <w:pPr>
              <w:jc w:val="center"/>
            </w:pPr>
            <w:r>
              <w:t>2340</w:t>
            </w:r>
          </w:p>
        </w:tc>
        <w:tc>
          <w:tcPr>
            <w:tcW w:w="1370" w:type="dxa"/>
            <w:tcBorders>
              <w:top w:val="nil"/>
              <w:left w:val="nil"/>
              <w:bottom w:val="single" w:sz="4" w:space="0" w:color="auto"/>
              <w:right w:val="single" w:sz="4" w:space="0" w:color="auto"/>
            </w:tcBorders>
            <w:shd w:val="clear" w:color="auto" w:fill="auto"/>
            <w:vAlign w:val="center"/>
            <w:hideMark/>
          </w:tcPr>
          <w:p>
            <w:pPr>
              <w:jc w:val="center"/>
            </w:pPr>
            <w:r>
              <w:t>2925</w:t>
            </w:r>
          </w:p>
        </w:tc>
        <w:tc>
          <w:tcPr>
            <w:tcW w:w="1371" w:type="dxa"/>
            <w:tcBorders>
              <w:top w:val="nil"/>
              <w:left w:val="nil"/>
              <w:bottom w:val="single" w:sz="4" w:space="0" w:color="auto"/>
              <w:right w:val="single" w:sz="4" w:space="0" w:color="auto"/>
            </w:tcBorders>
            <w:shd w:val="clear" w:color="auto" w:fill="auto"/>
            <w:vAlign w:val="center"/>
            <w:hideMark/>
          </w:tcPr>
          <w:p>
            <w:pPr>
              <w:jc w:val="center"/>
            </w:pPr>
            <w:r>
              <w:t>1234</w:t>
            </w:r>
          </w:p>
        </w:tc>
        <w:tc>
          <w:tcPr>
            <w:tcW w:w="1551" w:type="dxa"/>
            <w:tcBorders>
              <w:top w:val="nil"/>
              <w:left w:val="nil"/>
              <w:bottom w:val="single" w:sz="4" w:space="0" w:color="auto"/>
              <w:right w:val="single" w:sz="4" w:space="0" w:color="auto"/>
            </w:tcBorders>
            <w:shd w:val="clear" w:color="auto" w:fill="auto"/>
            <w:vAlign w:val="center"/>
            <w:hideMark/>
          </w:tcPr>
          <w:p>
            <w:pPr>
              <w:jc w:val="center"/>
            </w:pPr>
            <w:r>
              <w:t>2193</w:t>
            </w:r>
          </w:p>
        </w:tc>
        <w:tc>
          <w:tcPr>
            <w:tcW w:w="1551" w:type="dxa"/>
            <w:tcBorders>
              <w:top w:val="nil"/>
              <w:left w:val="nil"/>
              <w:bottom w:val="single" w:sz="4" w:space="0" w:color="auto"/>
              <w:right w:val="single" w:sz="4" w:space="0" w:color="auto"/>
            </w:tcBorders>
            <w:shd w:val="clear" w:color="auto" w:fill="auto"/>
            <w:vAlign w:val="center"/>
            <w:hideMark/>
          </w:tcPr>
          <w:p>
            <w:pPr>
              <w:jc w:val="center"/>
            </w:pPr>
            <w:r>
              <w:t>4306</w:t>
            </w:r>
          </w:p>
        </w:tc>
      </w:tr>
      <w:tr>
        <w:trPr>
          <w:trHeight w:val="411"/>
        </w:trPr>
        <w:tc>
          <w:tcPr>
            <w:tcW w:w="2283" w:type="dxa"/>
            <w:tcBorders>
              <w:top w:val="nil"/>
              <w:left w:val="single" w:sz="4" w:space="0" w:color="auto"/>
              <w:bottom w:val="single" w:sz="4" w:space="0" w:color="auto"/>
              <w:right w:val="single" w:sz="4" w:space="0" w:color="auto"/>
            </w:tcBorders>
            <w:shd w:val="clear" w:color="auto" w:fill="auto"/>
            <w:vAlign w:val="center"/>
            <w:hideMark/>
          </w:tcPr>
          <w:p>
            <w:pPr>
              <w:jc w:val="left"/>
            </w:pPr>
            <w:bookmarkStart w:id="28" w:name="RANGE!Q42"/>
            <w:r>
              <w:t>Charge polluante (EH)</w:t>
            </w:r>
            <w:bookmarkEnd w:id="28"/>
          </w:p>
        </w:tc>
        <w:tc>
          <w:tcPr>
            <w:tcW w:w="1370" w:type="dxa"/>
            <w:tcBorders>
              <w:top w:val="nil"/>
              <w:left w:val="nil"/>
              <w:bottom w:val="single" w:sz="4" w:space="0" w:color="auto"/>
              <w:right w:val="single" w:sz="4" w:space="0" w:color="auto"/>
            </w:tcBorders>
            <w:shd w:val="clear" w:color="auto" w:fill="auto"/>
            <w:vAlign w:val="center"/>
            <w:hideMark/>
          </w:tcPr>
          <w:p>
            <w:pPr>
              <w:jc w:val="center"/>
            </w:pPr>
            <w:r>
              <w:rPr>
                <w:rFonts w:cs="Calibri"/>
                <w:color w:val="000000"/>
              </w:rPr>
              <w:t>1579</w:t>
            </w:r>
          </w:p>
        </w:tc>
        <w:tc>
          <w:tcPr>
            <w:tcW w:w="1370" w:type="dxa"/>
            <w:tcBorders>
              <w:top w:val="nil"/>
              <w:left w:val="nil"/>
              <w:bottom w:val="single" w:sz="4" w:space="0" w:color="auto"/>
              <w:right w:val="single" w:sz="4" w:space="0" w:color="auto"/>
            </w:tcBorders>
            <w:shd w:val="clear" w:color="auto" w:fill="auto"/>
            <w:vAlign w:val="center"/>
            <w:hideMark/>
          </w:tcPr>
          <w:p>
            <w:pPr>
              <w:jc w:val="center"/>
            </w:pPr>
            <w:r>
              <w:rPr>
                <w:rFonts w:cs="Calibri"/>
                <w:color w:val="000000"/>
              </w:rPr>
              <w:t>1096</w:t>
            </w:r>
          </w:p>
        </w:tc>
        <w:tc>
          <w:tcPr>
            <w:tcW w:w="1371" w:type="dxa"/>
            <w:tcBorders>
              <w:top w:val="nil"/>
              <w:left w:val="nil"/>
              <w:bottom w:val="single" w:sz="4" w:space="0" w:color="auto"/>
              <w:right w:val="single" w:sz="4" w:space="0" w:color="auto"/>
            </w:tcBorders>
            <w:shd w:val="clear" w:color="auto" w:fill="auto"/>
            <w:vAlign w:val="center"/>
            <w:hideMark/>
          </w:tcPr>
          <w:p>
            <w:pPr>
              <w:jc w:val="center"/>
            </w:pPr>
            <w:r>
              <w:rPr>
                <w:rFonts w:cs="Calibri"/>
                <w:color w:val="000000"/>
              </w:rPr>
              <w:t>879</w:t>
            </w:r>
          </w:p>
        </w:tc>
        <w:tc>
          <w:tcPr>
            <w:tcW w:w="1551" w:type="dxa"/>
            <w:tcBorders>
              <w:top w:val="nil"/>
              <w:left w:val="nil"/>
              <w:bottom w:val="single" w:sz="4" w:space="0" w:color="auto"/>
              <w:right w:val="single" w:sz="4" w:space="0" w:color="auto"/>
            </w:tcBorders>
            <w:shd w:val="clear" w:color="auto" w:fill="auto"/>
            <w:vAlign w:val="center"/>
            <w:hideMark/>
          </w:tcPr>
          <w:p>
            <w:pPr>
              <w:jc w:val="center"/>
            </w:pPr>
            <w:r>
              <w:rPr>
                <w:rFonts w:cs="Calibri"/>
                <w:color w:val="000000"/>
              </w:rPr>
              <w:t>967</w:t>
            </w:r>
          </w:p>
        </w:tc>
        <w:tc>
          <w:tcPr>
            <w:tcW w:w="1551" w:type="dxa"/>
            <w:tcBorders>
              <w:top w:val="nil"/>
              <w:left w:val="nil"/>
              <w:bottom w:val="single" w:sz="4" w:space="0" w:color="auto"/>
              <w:right w:val="single" w:sz="4" w:space="0" w:color="auto"/>
            </w:tcBorders>
            <w:shd w:val="clear" w:color="auto" w:fill="auto"/>
            <w:vAlign w:val="center"/>
            <w:hideMark/>
          </w:tcPr>
          <w:p>
            <w:pPr>
              <w:jc w:val="center"/>
            </w:pPr>
            <w:r>
              <w:rPr>
                <w:rFonts w:cs="Calibri"/>
                <w:color w:val="000000"/>
              </w:rPr>
              <w:t>2588</w:t>
            </w:r>
          </w:p>
        </w:tc>
      </w:tr>
    </w:tbl>
    <w:p>
      <w:r>
        <w:t xml:space="preserve">En comparant, pour </w:t>
      </w:r>
      <w:proofErr w:type="spellStart"/>
      <w:r>
        <w:t>Bezouce</w:t>
      </w:r>
      <w:proofErr w:type="spellEnd"/>
      <w:r>
        <w:t xml:space="preserve"> et Saint-</w:t>
      </w:r>
      <w:proofErr w:type="spellStart"/>
      <w:r>
        <w:t>Gervasy</w:t>
      </w:r>
      <w:proofErr w:type="spellEnd"/>
      <w:r>
        <w:t>, les charges théoriques en EH (issue du nombre d’habitant théorique raccordé) aux charges réelles mesurées, on se rend compte que la charge hydraulique dépasse la charge théorique et que la charge polluante, à l’inverse, est inférieure. L’explication à ces écarts peut être la suivante :</w:t>
      </w:r>
    </w:p>
    <w:p>
      <w:pPr>
        <w:pStyle w:val="Paragraphedeliste"/>
        <w:numPr>
          <w:ilvl w:val="0"/>
          <w:numId w:val="41"/>
        </w:numPr>
      </w:pPr>
      <w:r>
        <w:t>Les communes étudiées ont des caractères de commune « dortoir » ou la majorité de la population travaille ailleurs, notamment sur Nîmes. Ainsi une partie des pollutions générées par ces habitants n’est pas produite sur leur commune de résidence, mais sur leur commune de travail.</w:t>
      </w:r>
    </w:p>
    <w:p>
      <w:pPr>
        <w:pStyle w:val="Paragraphedeliste"/>
        <w:numPr>
          <w:ilvl w:val="0"/>
          <w:numId w:val="41"/>
        </w:numPr>
      </w:pPr>
      <w:r>
        <w:t>La charge hydraulique prend en compte les entrées d’eau claires, le ratio notamment entre charge hydraulique et charge théorique est assez proche du taux d’ECPP estimé durant la campagne de mesures.</w:t>
      </w:r>
    </w:p>
    <w:p>
      <w:r>
        <w:t>Concernant l’ouvrage de régulation, il apparait que ce dernier déleste vers la STEU de Marguerittes environ un tiers des effluents arrivant en STEU de Saint-</w:t>
      </w:r>
      <w:proofErr w:type="spellStart"/>
      <w:r>
        <w:t>Gervasy</w:t>
      </w:r>
      <w:proofErr w:type="spellEnd"/>
      <w:r>
        <w:t xml:space="preserve">. Le régulateur permet donc un délestage de cette dernière d’un niveau supérieur aux seuls apports de </w:t>
      </w:r>
      <w:proofErr w:type="spellStart"/>
      <w:r>
        <w:t>Cabrières</w:t>
      </w:r>
      <w:proofErr w:type="spellEnd"/>
      <w:r>
        <w:t>.</w:t>
      </w:r>
    </w:p>
    <w:p>
      <w:r>
        <w:t xml:space="preserve"> </w:t>
      </w:r>
    </w:p>
    <w:p/>
    <w:p/>
    <w:p/>
    <w:p/>
    <w:p/>
    <w:p/>
    <w:p/>
    <w:p/>
    <w:p/>
    <w:p/>
    <w:p/>
    <w:p/>
    <w:p>
      <w:pPr>
        <w:pStyle w:val="Titre1"/>
        <w:pBdr>
          <w:bottom w:val="single" w:sz="12" w:space="4" w:color="0070C0"/>
        </w:pBdr>
      </w:pPr>
      <w:bookmarkStart w:id="29" w:name="_Toc92700758"/>
      <w:r>
        <w:lastRenderedPageBreak/>
        <w:t>Scenarios sur la collecte et le traitement des eaux usées</w:t>
      </w:r>
      <w:bookmarkEnd w:id="23"/>
      <w:bookmarkEnd w:id="24"/>
      <w:bookmarkEnd w:id="29"/>
    </w:p>
    <w:p>
      <w:pPr>
        <w:pStyle w:val="Titre2"/>
      </w:pPr>
      <w:bookmarkStart w:id="30" w:name="_Toc46480265"/>
      <w:bookmarkStart w:id="31" w:name="_Ref56517793"/>
      <w:bookmarkStart w:id="32" w:name="_Toc92700759"/>
      <w:r>
        <w:t>Extension du réseau de collecte</w:t>
      </w:r>
      <w:bookmarkEnd w:id="30"/>
      <w:bookmarkEnd w:id="31"/>
      <w:r>
        <w:t xml:space="preserve"> suite au zonage d’assainissement</w:t>
      </w:r>
      <w:bookmarkEnd w:id="32"/>
    </w:p>
    <w:p>
      <w:pPr>
        <w:pStyle w:val="Retrait1"/>
      </w:pPr>
      <w:r>
        <w:t xml:space="preserve">Commune de </w:t>
      </w:r>
      <w:proofErr w:type="spellStart"/>
      <w:r>
        <w:t>Bezouce</w:t>
      </w:r>
      <w:proofErr w:type="spellEnd"/>
      <w:r>
        <w:t xml:space="preserve"> : </w:t>
      </w:r>
    </w:p>
    <w:p>
      <w:r>
        <w:rPr>
          <w:noProof/>
        </w:rPr>
        <mc:AlternateContent>
          <mc:Choice Requires="wps">
            <w:drawing>
              <wp:anchor distT="0" distB="0" distL="114300" distR="114300" simplePos="0" relativeHeight="251683840" behindDoc="0" locked="0" layoutInCell="1" allowOverlap="1">
                <wp:simplePos x="0" y="0"/>
                <wp:positionH relativeFrom="column">
                  <wp:posOffset>3334325</wp:posOffset>
                </wp:positionH>
                <wp:positionV relativeFrom="paragraph">
                  <wp:posOffset>349034</wp:posOffset>
                </wp:positionV>
                <wp:extent cx="1639019" cy="431321"/>
                <wp:effectExtent l="0" t="0" r="0" b="6985"/>
                <wp:wrapNone/>
                <wp:docPr id="1344" name="Zone de texte 1344"/>
                <wp:cNvGraphicFramePr/>
                <a:graphic xmlns:a="http://schemas.openxmlformats.org/drawingml/2006/main">
                  <a:graphicData uri="http://schemas.microsoft.com/office/word/2010/wordprocessingShape">
                    <wps:wsp>
                      <wps:cNvSpPr txBox="1"/>
                      <wps:spPr>
                        <a:xfrm>
                          <a:off x="0" y="0"/>
                          <a:ext cx="1639019" cy="43132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rPr>
                                <w:b/>
                                <w:color w:val="FFFFFF" w:themeColor="background1"/>
                              </w:rPr>
                            </w:pPr>
                            <w:r>
                              <w:rPr>
                                <w:b/>
                                <w:color w:val="FFFFFF" w:themeColor="background1"/>
                              </w:rPr>
                              <w:t>Zone 1Aux : zone d’activité</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1344" o:spid="_x0000_s1036" type="#_x0000_t202" style="position:absolute;left:0;text-align:left;margin-left:262.55pt;margin-top:27.5pt;width:129.05pt;height:33.9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" filled="f" stroked="f" strokeweight=".5pt">
                <v:textbox>
                  <w:txbxContent>
                    <w:p>
                      <w:pPr>
                        <w:rPr>
                          <w:b/>
                          <w:color w:val="FFFFFF" w:themeColor="background1"/>
                        </w:rPr>
                      </w:pPr>
                      <w:r>
                        <w:rPr>
                          <w:b/>
                          <w:color w:val="FFFFFF" w:themeColor="background1"/>
                        </w:rPr>
                        <w:t>Zone 1Aux : zone d’activité</w:t>
                      </w:r>
                    </w:p>
                  </w:txbxContent>
                </v:textbox>
              </v:shape>
            </w:pict>
          </mc:Fallback>
        </mc:AlternateContent>
      </w:r>
      <w:r>
        <w:t xml:space="preserve">Dans le cadre de la mise à jour du zonage d’assainissement, les </w:t>
      </w:r>
      <w:r>
        <w:rPr>
          <w:rFonts w:cs="Helvetica-Bold"/>
          <w:bCs/>
        </w:rPr>
        <w:t xml:space="preserve">zones projetées dans le PLU par la commune en zones 1AUa et 1AUx </w:t>
      </w:r>
      <w:r>
        <w:t>ont été classées en assainissement collectif futur.</w:t>
      </w:r>
    </w:p>
    <w:p>
      <w:r>
        <w:rPr>
          <w:noProof/>
        </w:rPr>
        <mc:AlternateContent>
          <mc:Choice Requires="wps">
            <w:drawing>
              <wp:anchor distT="0" distB="0" distL="114300" distR="114300" simplePos="0" relativeHeight="251681792" behindDoc="0" locked="0" layoutInCell="1" allowOverlap="1">
                <wp:simplePos x="0" y="0"/>
                <wp:positionH relativeFrom="column">
                  <wp:posOffset>1419261</wp:posOffset>
                </wp:positionH>
                <wp:positionV relativeFrom="paragraph">
                  <wp:posOffset>4329083</wp:posOffset>
                </wp:positionV>
                <wp:extent cx="716328" cy="173990"/>
                <wp:effectExtent l="0" t="57150" r="0" b="35560"/>
                <wp:wrapNone/>
                <wp:docPr id="254" name="Connecteur droit avec flèche 254"/>
                <wp:cNvGraphicFramePr/>
                <a:graphic xmlns:a="http://schemas.openxmlformats.org/drawingml/2006/main">
                  <a:graphicData uri="http://schemas.microsoft.com/office/word/2010/wordprocessingShape">
                    <wps:wsp>
                      <wps:cNvCnPr/>
                      <wps:spPr>
                        <a:xfrm flipV="1">
                          <a:off x="0" y="0"/>
                          <a:ext cx="716328" cy="173990"/>
                        </a:xfrm>
                        <a:prstGeom prst="straightConnector1">
                          <a:avLst/>
                        </a:prstGeom>
                        <a:ln w="19050">
                          <a:solidFill>
                            <a:schemeClr val="bg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Connecteur droit avec flèche 254" o:spid="_x0000_s1026" type="#_x0000_t32" style="position:absolute;margin-left:111.75pt;margin-top:340.85pt;width:56.4pt;height:13.7pt;flip:y;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" strokecolor="white [3212]" strokeweight="1.5pt">
                <v:stroke endarrow="block"/>
              </v:shape>
            </w:pict>
          </mc:Fallback>
        </mc:AlternateContent>
      </w:r>
      <w:r>
        <w:rPr>
          <w:noProof/>
        </w:rPr>
        <mc:AlternateContent>
          <mc:Choice Requires="wps">
            <w:drawing>
              <wp:anchor distT="0" distB="0" distL="114300" distR="114300" simplePos="0" relativeHeight="251677696" behindDoc="0" locked="0" layoutInCell="1" allowOverlap="1">
                <wp:simplePos x="0" y="0"/>
                <wp:positionH relativeFrom="column">
                  <wp:posOffset>3756660</wp:posOffset>
                </wp:positionH>
                <wp:positionV relativeFrom="paragraph">
                  <wp:posOffset>4940935</wp:posOffset>
                </wp:positionV>
                <wp:extent cx="659130" cy="436245"/>
                <wp:effectExtent l="38100" t="38100" r="26670" b="20955"/>
                <wp:wrapNone/>
                <wp:docPr id="242" name="Connecteur droit avec flèche 242"/>
                <wp:cNvGraphicFramePr/>
                <a:graphic xmlns:a="http://schemas.openxmlformats.org/drawingml/2006/main">
                  <a:graphicData uri="http://schemas.microsoft.com/office/word/2010/wordprocessingShape">
                    <wps:wsp>
                      <wps:cNvCnPr/>
                      <wps:spPr>
                        <a:xfrm flipH="1" flipV="1">
                          <a:off x="0" y="0"/>
                          <a:ext cx="659130" cy="436245"/>
                        </a:xfrm>
                        <a:prstGeom prst="straightConnector1">
                          <a:avLst/>
                        </a:prstGeom>
                        <a:ln w="19050">
                          <a:solidFill>
                            <a:schemeClr val="bg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Connecteur droit avec flèche 242" o:spid="_x0000_s1026" type="#_x0000_t32" style="position:absolute;margin-left:295.8pt;margin-top:389.05pt;width:51.9pt;height:34.35pt;flip:x y;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" strokecolor="white [3212]" strokeweight="1.5pt">
                <v:stroke endarrow="block"/>
              </v:shape>
            </w:pict>
          </mc:Fallback>
        </mc:AlternateContent>
      </w:r>
      <w:r>
        <w:rPr>
          <w:noProof/>
        </w:rPr>
        <mc:AlternateContent>
          <mc:Choice Requires="wps">
            <w:drawing>
              <wp:anchor distT="0" distB="0" distL="114300" distR="114300" simplePos="0" relativeHeight="251675648" behindDoc="0" locked="0" layoutInCell="1" allowOverlap="1">
                <wp:simplePos x="0" y="0"/>
                <wp:positionH relativeFrom="column">
                  <wp:posOffset>4352243</wp:posOffset>
                </wp:positionH>
                <wp:positionV relativeFrom="paragraph">
                  <wp:posOffset>5174471</wp:posOffset>
                </wp:positionV>
                <wp:extent cx="1751126" cy="331470"/>
                <wp:effectExtent l="0" t="0" r="0" b="0"/>
                <wp:wrapNone/>
                <wp:docPr id="240" name="Zone de texte 240"/>
                <wp:cNvGraphicFramePr/>
                <a:graphic xmlns:a="http://schemas.openxmlformats.org/drawingml/2006/main">
                  <a:graphicData uri="http://schemas.microsoft.com/office/word/2010/wordprocessingShape">
                    <wps:wsp>
                      <wps:cNvSpPr txBox="1"/>
                      <wps:spPr>
                        <a:xfrm>
                          <a:off x="0" y="0"/>
                          <a:ext cx="1751126" cy="3314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rPr>
                                <w:b/>
                                <w:color w:val="FFFFFF" w:themeColor="background1"/>
                              </w:rPr>
                            </w:pPr>
                            <w:r>
                              <w:rPr>
                                <w:b/>
                                <w:color w:val="FFFFFF" w:themeColor="background1"/>
                              </w:rPr>
                              <w:t>Zone UE : équipement sportif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240" o:spid="_x0000_s1037" type="#_x0000_t202" style="position:absolute;left:0;text-align:left;margin-left:342.7pt;margin-top:407.45pt;width:137.9pt;height:26.1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" filled="f" stroked="f" strokeweight=".5pt">
                <v:textbox>
                  <w:txbxContent>
                    <w:p>
                      <w:pPr>
                        <w:rPr>
                          <w:b/>
                          <w:color w:val="FFFFFF" w:themeColor="background1"/>
                        </w:rPr>
                      </w:pPr>
                      <w:r>
                        <w:rPr>
                          <w:b/>
                          <w:color w:val="FFFFFF" w:themeColor="background1"/>
                        </w:rPr>
                        <w:t>Zone UE : équipement sportif</w:t>
                      </w:r>
                    </w:p>
                  </w:txbxContent>
                </v:textbox>
              </v:shape>
            </w:pict>
          </mc:Fallback>
        </mc:AlternateContent>
      </w:r>
      <w:r>
        <w:rPr>
          <w:noProof/>
        </w:rPr>
        <mc:AlternateContent>
          <mc:Choice Requires="wps">
            <w:drawing>
              <wp:anchor distT="0" distB="0" distL="114300" distR="114300" simplePos="0" relativeHeight="251685888" behindDoc="0" locked="0" layoutInCell="1" allowOverlap="1">
                <wp:simplePos x="0" y="0"/>
                <wp:positionH relativeFrom="column">
                  <wp:posOffset>4225621</wp:posOffset>
                </wp:positionH>
                <wp:positionV relativeFrom="paragraph">
                  <wp:posOffset>298146</wp:posOffset>
                </wp:positionV>
                <wp:extent cx="604300" cy="595796"/>
                <wp:effectExtent l="0" t="0" r="81915" b="52070"/>
                <wp:wrapNone/>
                <wp:docPr id="1346" name="Connecteur droit avec flèche 1346"/>
                <wp:cNvGraphicFramePr/>
                <a:graphic xmlns:a="http://schemas.openxmlformats.org/drawingml/2006/main">
                  <a:graphicData uri="http://schemas.microsoft.com/office/word/2010/wordprocessingShape">
                    <wps:wsp>
                      <wps:cNvCnPr/>
                      <wps:spPr>
                        <a:xfrm>
                          <a:off x="0" y="0"/>
                          <a:ext cx="604300" cy="595796"/>
                        </a:xfrm>
                        <a:prstGeom prst="straightConnector1">
                          <a:avLst/>
                        </a:prstGeom>
                        <a:ln w="19050">
                          <a:solidFill>
                            <a:schemeClr val="bg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Connecteur droit avec flèche 1346" o:spid="_x0000_s1026" type="#_x0000_t32" style="position:absolute;margin-left:332.75pt;margin-top:23.5pt;width:47.6pt;height:46.9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" strokecolor="white [3212]" strokeweight="1.5pt">
                <v:stroke endarrow="block"/>
              </v:shape>
            </w:pict>
          </mc:Fallback>
        </mc:AlternateContent>
      </w:r>
      <w:r>
        <w:rPr>
          <w:noProof/>
        </w:rPr>
        <mc:AlternateContent>
          <mc:Choice Requires="wps">
            <w:drawing>
              <wp:anchor distT="0" distB="0" distL="114300" distR="114300" simplePos="0" relativeHeight="251671552" behindDoc="0" locked="0" layoutInCell="1" allowOverlap="1">
                <wp:simplePos x="0" y="0"/>
                <wp:positionH relativeFrom="column">
                  <wp:posOffset>3573145</wp:posOffset>
                </wp:positionH>
                <wp:positionV relativeFrom="paragraph">
                  <wp:posOffset>3915410</wp:posOffset>
                </wp:positionV>
                <wp:extent cx="596265" cy="500380"/>
                <wp:effectExtent l="38100" t="0" r="32385" b="52070"/>
                <wp:wrapNone/>
                <wp:docPr id="239" name="Connecteur droit avec flèche 239"/>
                <wp:cNvGraphicFramePr/>
                <a:graphic xmlns:a="http://schemas.openxmlformats.org/drawingml/2006/main">
                  <a:graphicData uri="http://schemas.microsoft.com/office/word/2010/wordprocessingShape">
                    <wps:wsp>
                      <wps:cNvCnPr/>
                      <wps:spPr>
                        <a:xfrm flipH="1">
                          <a:off x="0" y="0"/>
                          <a:ext cx="596265" cy="500380"/>
                        </a:xfrm>
                        <a:prstGeom prst="straightConnector1">
                          <a:avLst/>
                        </a:prstGeom>
                        <a:ln w="19050">
                          <a:solidFill>
                            <a:schemeClr val="bg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Connecteur droit avec flèche 239" o:spid="_x0000_s1026" type="#_x0000_t32" style="position:absolute;margin-left:281.35pt;margin-top:308.3pt;width:46.95pt;height:39.4pt;flip:x;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" strokecolor="white [3212]" strokeweight="1.5pt">
                <v:stroke endarrow="block"/>
              </v:shape>
            </w:pict>
          </mc:Fallback>
        </mc:AlternateContent>
      </w:r>
      <w:r>
        <w:rPr>
          <w:noProof/>
        </w:rPr>
        <mc:AlternateContent>
          <mc:Choice Requires="wps">
            <w:drawing>
              <wp:anchor distT="0" distB="0" distL="114300" distR="114300" simplePos="0" relativeHeight="251679744" behindDoc="0" locked="0" layoutInCell="1" allowOverlap="1">
                <wp:simplePos x="0" y="0"/>
                <wp:positionH relativeFrom="column">
                  <wp:posOffset>20982</wp:posOffset>
                </wp:positionH>
                <wp:positionV relativeFrom="paragraph">
                  <wp:posOffset>4268746</wp:posOffset>
                </wp:positionV>
                <wp:extent cx="1896110" cy="508635"/>
                <wp:effectExtent l="0" t="0" r="0" b="5715"/>
                <wp:wrapNone/>
                <wp:docPr id="246" name="Zone de texte 246"/>
                <wp:cNvGraphicFramePr/>
                <a:graphic xmlns:a="http://schemas.openxmlformats.org/drawingml/2006/main">
                  <a:graphicData uri="http://schemas.microsoft.com/office/word/2010/wordprocessingShape">
                    <wps:wsp>
                      <wps:cNvSpPr txBox="1"/>
                      <wps:spPr>
                        <a:xfrm>
                          <a:off x="0" y="0"/>
                          <a:ext cx="1896110" cy="5086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rPr>
                                <w:b/>
                                <w:color w:val="FFFFFF" w:themeColor="background1"/>
                              </w:rPr>
                            </w:pPr>
                            <w:r>
                              <w:rPr>
                                <w:b/>
                                <w:color w:val="FFFFFF" w:themeColor="background1"/>
                              </w:rPr>
                              <w:t xml:space="preserve">Zone 1AUa : </w:t>
                            </w:r>
                            <w:proofErr w:type="spellStart"/>
                            <w:r>
                              <w:rPr>
                                <w:b/>
                                <w:color w:val="FFFFFF" w:themeColor="background1"/>
                              </w:rPr>
                              <w:t>Canabières</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246" o:spid="_x0000_s1038" type="#_x0000_t202" style="position:absolute;left:0;text-align:left;margin-left:1.65pt;margin-top:336.1pt;width:149.3pt;height:40.0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" filled="f" stroked="f" strokeweight=".5pt">
                <v:textbox>
                  <w:txbxContent>
                    <w:p>
                      <w:pPr>
                        <w:rPr>
                          <w:b/>
                          <w:color w:val="FFFFFF" w:themeColor="background1"/>
                        </w:rPr>
                      </w:pPr>
                      <w:r>
                        <w:rPr>
                          <w:b/>
                          <w:color w:val="FFFFFF" w:themeColor="background1"/>
                        </w:rPr>
                        <w:t xml:space="preserve">Zone 1AUa : </w:t>
                      </w:r>
                      <w:proofErr w:type="spellStart"/>
                      <w:r>
                        <w:rPr>
                          <w:b/>
                          <w:color w:val="FFFFFF" w:themeColor="background1"/>
                        </w:rPr>
                        <w:t>Canabières</w:t>
                      </w:r>
                      <w:proofErr w:type="spellEnd"/>
                    </w:p>
                  </w:txbxContent>
                </v:textbox>
              </v:shape>
            </w:pict>
          </mc:Fallback>
        </mc:AlternateContent>
      </w:r>
      <w:r>
        <w:rPr>
          <w:noProof/>
        </w:rPr>
        <mc:AlternateContent>
          <mc:Choice Requires="wps">
            <w:drawing>
              <wp:anchor distT="0" distB="0" distL="114300" distR="114300" simplePos="0" relativeHeight="251667456" behindDoc="0" locked="0" layoutInCell="1" allowOverlap="1">
                <wp:simplePos x="0" y="0"/>
                <wp:positionH relativeFrom="column">
                  <wp:posOffset>4090449</wp:posOffset>
                </wp:positionH>
                <wp:positionV relativeFrom="paragraph">
                  <wp:posOffset>3621792</wp:posOffset>
                </wp:positionV>
                <wp:extent cx="1896110" cy="508883"/>
                <wp:effectExtent l="0" t="0" r="0" b="5715"/>
                <wp:wrapNone/>
                <wp:docPr id="238" name="Zone de texte 238"/>
                <wp:cNvGraphicFramePr/>
                <a:graphic xmlns:a="http://schemas.openxmlformats.org/drawingml/2006/main">
                  <a:graphicData uri="http://schemas.microsoft.com/office/word/2010/wordprocessingShape">
                    <wps:wsp>
                      <wps:cNvSpPr txBox="1"/>
                      <wps:spPr>
                        <a:xfrm>
                          <a:off x="0" y="0"/>
                          <a:ext cx="1896110" cy="50888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rPr>
                                <w:b/>
                                <w:color w:val="FFFFFF" w:themeColor="background1"/>
                              </w:rPr>
                            </w:pPr>
                            <w:r>
                              <w:rPr>
                                <w:b/>
                                <w:color w:val="FFFFFF" w:themeColor="background1"/>
                              </w:rPr>
                              <w:t>Zone 2AU : extension cimetière et Salle des fêtes</w:t>
                            </w:r>
                            <w:r>
                              <w:t>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238" o:spid="_x0000_s1039" type="#_x0000_t202" style="position:absolute;left:0;text-align:left;margin-left:322.1pt;margin-top:285.2pt;width:149.3pt;height:40.0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" filled="f" stroked="f" strokeweight=".5pt">
                <v:textbox>
                  <w:txbxContent>
                    <w:p>
                      <w:pPr>
                        <w:rPr>
                          <w:b/>
                          <w:color w:val="FFFFFF" w:themeColor="background1"/>
                        </w:rPr>
                      </w:pPr>
                      <w:r>
                        <w:rPr>
                          <w:b/>
                          <w:color w:val="FFFFFF" w:themeColor="background1"/>
                        </w:rPr>
                        <w:t>Zone 2AU : extension cimetière et Salle des fêtes</w:t>
                      </w:r>
                      <w:r>
                        <w:t> </w:t>
                      </w:r>
                    </w:p>
                  </w:txbxContent>
                </v:textbox>
              </v:shape>
            </w:pict>
          </mc:Fallback>
        </mc:AlternateContent>
      </w:r>
      <w:r>
        <w:rPr>
          <w:noProof/>
        </w:rPr>
        <mc:AlternateContent>
          <mc:Choice Requires="wps">
            <w:drawing>
              <wp:anchor distT="0" distB="0" distL="114300" distR="114300" simplePos="0" relativeHeight="251663360" behindDoc="0" locked="0" layoutInCell="1" allowOverlap="1">
                <wp:simplePos x="0" y="0"/>
                <wp:positionH relativeFrom="column">
                  <wp:posOffset>180340</wp:posOffset>
                </wp:positionH>
                <wp:positionV relativeFrom="paragraph">
                  <wp:posOffset>5240655</wp:posOffset>
                </wp:positionV>
                <wp:extent cx="269875" cy="134620"/>
                <wp:effectExtent l="0" t="0" r="15875" b="17780"/>
                <wp:wrapNone/>
                <wp:docPr id="237" name="Rectangle 237"/>
                <wp:cNvGraphicFramePr/>
                <a:graphic xmlns:a="http://schemas.openxmlformats.org/drawingml/2006/main">
                  <a:graphicData uri="http://schemas.microsoft.com/office/word/2010/wordprocessingShape">
                    <wps:wsp>
                      <wps:cNvSpPr/>
                      <wps:spPr>
                        <a:xfrm>
                          <a:off x="0" y="0"/>
                          <a:ext cx="269875" cy="134620"/>
                        </a:xfrm>
                        <a:prstGeom prst="rect">
                          <a:avLst/>
                        </a:prstGeom>
                        <a:solidFill>
                          <a:srgbClr val="FF0000"/>
                        </a:solidFill>
                        <a:ln w="3175"/>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237" o:spid="_x0000_s1026" style="position:absolute;margin-left:14.2pt;margin-top:412.65pt;width:21.25pt;height:10.6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" fillcolor="red" strokecolor="#243f60 [1604]" strokeweight=".25pt"/>
            </w:pict>
          </mc:Fallback>
        </mc:AlternateContent>
      </w:r>
      <w:r>
        <w:rPr>
          <w:noProof/>
        </w:rPr>
        <mc:AlternateContent>
          <mc:Choice Requires="wps">
            <w:drawing>
              <wp:anchor distT="0" distB="0" distL="114300" distR="114300" simplePos="0" relativeHeight="251659264" behindDoc="0" locked="0" layoutInCell="1" allowOverlap="1">
                <wp:simplePos x="0" y="0"/>
                <wp:positionH relativeFrom="column">
                  <wp:posOffset>179070</wp:posOffset>
                </wp:positionH>
                <wp:positionV relativeFrom="paragraph">
                  <wp:posOffset>4953635</wp:posOffset>
                </wp:positionV>
                <wp:extent cx="269875" cy="134620"/>
                <wp:effectExtent l="0" t="0" r="15875" b="17780"/>
                <wp:wrapNone/>
                <wp:docPr id="236" name="Rectangle 236"/>
                <wp:cNvGraphicFramePr/>
                <a:graphic xmlns:a="http://schemas.openxmlformats.org/drawingml/2006/main">
                  <a:graphicData uri="http://schemas.microsoft.com/office/word/2010/wordprocessingShape">
                    <wps:wsp>
                      <wps:cNvSpPr/>
                      <wps:spPr>
                        <a:xfrm>
                          <a:off x="0" y="0"/>
                          <a:ext cx="269875" cy="134620"/>
                        </a:xfrm>
                        <a:prstGeom prst="rect">
                          <a:avLst/>
                        </a:prstGeom>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236" o:spid="_x0000_s1026" style="position:absolute;margin-left:14.1pt;margin-top:390.05pt;width:21.25pt;height:10.6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" fillcolor="#4f81bd [3204]" strokecolor="black [3213]" strokeweight=".25pt"/>
            </w:pict>
          </mc:Fallback>
        </mc:AlternateContent>
      </w:r>
      <w:r>
        <w:rPr>
          <w:noProof/>
        </w:rPr>
        <mc:AlternateContent>
          <mc:Choice Requires="wps">
            <w:drawing>
              <wp:anchor distT="0" distB="0" distL="114300" distR="114300" simplePos="0" relativeHeight="251656192" behindDoc="0" locked="0" layoutInCell="1" allowOverlap="1">
                <wp:simplePos x="0" y="0"/>
                <wp:positionH relativeFrom="column">
                  <wp:posOffset>20320</wp:posOffset>
                </wp:positionH>
                <wp:positionV relativeFrom="paragraph">
                  <wp:posOffset>4834890</wp:posOffset>
                </wp:positionV>
                <wp:extent cx="1695450" cy="685165"/>
                <wp:effectExtent l="0" t="0" r="19050" b="19685"/>
                <wp:wrapNone/>
                <wp:docPr id="23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95450" cy="685165"/>
                        </a:xfrm>
                        <a:prstGeom prst="rect">
                          <a:avLst/>
                        </a:prstGeom>
                        <a:solidFill>
                          <a:srgbClr val="FFFFFF"/>
                        </a:solidFill>
                        <a:ln w="9525">
                          <a:solidFill>
                            <a:srgbClr val="000000"/>
                          </a:solidFill>
                          <a:miter lim="800000"/>
                          <a:headEnd/>
                          <a:tailEnd/>
                        </a:ln>
                      </wps:spPr>
                      <wps:txbx>
                        <w:txbxContent>
                          <w:p>
                            <w:r>
                              <w:tab/>
                              <w:t>Zone urbaine</w:t>
                            </w:r>
                          </w:p>
                          <w:p>
                            <w:pPr>
                              <w:ind w:firstLine="709"/>
                            </w:pPr>
                            <w:r>
                              <w:t>Zone à urbaniser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Zone de texte 2" o:spid="_x0000_s1040" type="#_x0000_t202" style="position:absolute;left:0;text-align:left;margin-left:1.6pt;margin-top:380.7pt;width:133.5pt;height:53.9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">
                <v:textbox>
                  <w:txbxContent>
                    <w:p>
                      <w:r>
                        <w:tab/>
                        <w:t>Zone urbaine</w:t>
                      </w:r>
                    </w:p>
                    <w:p>
                      <w:pPr>
                        <w:ind w:firstLine="709"/>
                      </w:pPr>
                      <w:r>
                        <w:t>Zone à urbaniser</w:t>
                      </w:r>
                    </w:p>
                  </w:txbxContent>
                </v:textbox>
              </v:shape>
            </w:pict>
          </mc:Fallback>
        </mc:AlternateContent>
      </w:r>
      <w:r>
        <w:rPr>
          <w:noProof/>
        </w:rPr>
        <w:drawing>
          <wp:inline distT="0" distB="0" distL="0" distR="0">
            <wp:extent cx="5972810" cy="5411470"/>
            <wp:effectExtent l="19050" t="19050" r="27940" b="17780"/>
            <wp:docPr id="1349" name="Image 1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972810" cy="5411470"/>
                    </a:xfrm>
                    <a:prstGeom prst="rect">
                      <a:avLst/>
                    </a:prstGeom>
                    <a:ln>
                      <a:solidFill>
                        <a:schemeClr val="tx1"/>
                      </a:solidFill>
                    </a:ln>
                  </pic:spPr>
                </pic:pic>
              </a:graphicData>
            </a:graphic>
          </wp:inline>
        </w:drawing>
      </w:r>
    </w:p>
    <w:p>
      <w:pPr>
        <w:spacing w:before="0"/>
        <w:jc w:val="left"/>
        <w:rPr>
          <w:rFonts w:cs="Arial"/>
          <w:b/>
        </w:rPr>
      </w:pPr>
      <w:r>
        <w:br w:type="page"/>
      </w:r>
    </w:p>
    <w:p>
      <w:pPr>
        <w:pStyle w:val="Retrait1"/>
      </w:pPr>
      <w:r>
        <w:lastRenderedPageBreak/>
        <w:t>Commune de Saint-</w:t>
      </w:r>
      <w:proofErr w:type="spellStart"/>
      <w:r>
        <w:t>Gervasy</w:t>
      </w:r>
      <w:proofErr w:type="spellEnd"/>
      <w:r>
        <w:t xml:space="preserve"> : </w:t>
      </w:r>
    </w:p>
    <w:p>
      <w:r>
        <w:t>La commune a pour projet d’inclure des zones 2AU dans le PLU au sud de la RN 86. Cette zone sera classée en assainissement collectif futur.</w:t>
      </w:r>
    </w:p>
    <w:p>
      <w:r>
        <w:rPr>
          <w:noProof/>
        </w:rPr>
        <mc:AlternateContent>
          <mc:Choice Requires="wps">
            <w:drawing>
              <wp:anchor distT="0" distB="0" distL="114300" distR="114300" simplePos="0" relativeHeight="251629568" behindDoc="0" locked="0" layoutInCell="1" allowOverlap="1">
                <wp:simplePos x="0" y="0"/>
                <wp:positionH relativeFrom="column">
                  <wp:posOffset>4490085</wp:posOffset>
                </wp:positionH>
                <wp:positionV relativeFrom="paragraph">
                  <wp:posOffset>4022725</wp:posOffset>
                </wp:positionV>
                <wp:extent cx="269875" cy="134620"/>
                <wp:effectExtent l="0" t="0" r="15875" b="17780"/>
                <wp:wrapNone/>
                <wp:docPr id="1398" name="Rectangle 1398"/>
                <wp:cNvGraphicFramePr/>
                <a:graphic xmlns:a="http://schemas.openxmlformats.org/drawingml/2006/main">
                  <a:graphicData uri="http://schemas.microsoft.com/office/word/2010/wordprocessingShape">
                    <wps:wsp>
                      <wps:cNvSpPr/>
                      <wps:spPr>
                        <a:xfrm>
                          <a:off x="0" y="0"/>
                          <a:ext cx="269875" cy="134620"/>
                        </a:xfrm>
                        <a:prstGeom prst="rect">
                          <a:avLst/>
                        </a:prstGeom>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398" o:spid="_x0000_s1026" style="position:absolute;margin-left:353.55pt;margin-top:316.75pt;width:21.25pt;height:10.6pt;z-index:2516295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" fillcolor="#4f81bd [3204]" strokecolor="black [3213]" strokeweight=".25pt"/>
            </w:pict>
          </mc:Fallback>
        </mc:AlternateContent>
      </w:r>
      <w:r>
        <w:rPr>
          <w:noProof/>
        </w:rPr>
        <mc:AlternateContent>
          <mc:Choice Requires="wps">
            <w:drawing>
              <wp:anchor distT="0" distB="0" distL="114300" distR="114300" simplePos="0" relativeHeight="251631616" behindDoc="0" locked="0" layoutInCell="1" allowOverlap="1">
                <wp:simplePos x="0" y="0"/>
                <wp:positionH relativeFrom="column">
                  <wp:posOffset>4491355</wp:posOffset>
                </wp:positionH>
                <wp:positionV relativeFrom="paragraph">
                  <wp:posOffset>4263390</wp:posOffset>
                </wp:positionV>
                <wp:extent cx="269875" cy="134620"/>
                <wp:effectExtent l="0" t="0" r="15875" b="17780"/>
                <wp:wrapNone/>
                <wp:docPr id="1400" name="Rectangle 1400"/>
                <wp:cNvGraphicFramePr/>
                <a:graphic xmlns:a="http://schemas.openxmlformats.org/drawingml/2006/main">
                  <a:graphicData uri="http://schemas.microsoft.com/office/word/2010/wordprocessingShape">
                    <wps:wsp>
                      <wps:cNvSpPr/>
                      <wps:spPr>
                        <a:xfrm>
                          <a:off x="0" y="0"/>
                          <a:ext cx="269875" cy="134620"/>
                        </a:xfrm>
                        <a:prstGeom prst="rect">
                          <a:avLst/>
                        </a:prstGeom>
                        <a:solidFill>
                          <a:srgbClr val="FF0000"/>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400" o:spid="_x0000_s1026" style="position:absolute;margin-left:353.65pt;margin-top:335.7pt;width:21.25pt;height:10.6pt;z-index:2516316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" fillcolor="red" strokecolor="black [3213]" strokeweight=".25pt"/>
            </w:pict>
          </mc:Fallback>
        </mc:AlternateContent>
      </w:r>
      <w:r>
        <w:rPr>
          <w:noProof/>
        </w:rPr>
        <mc:AlternateContent>
          <mc:Choice Requires="wps">
            <w:drawing>
              <wp:anchor distT="0" distB="0" distL="114300" distR="114300" simplePos="0" relativeHeight="251692032" behindDoc="0" locked="0" layoutInCell="1" allowOverlap="1">
                <wp:simplePos x="0" y="0"/>
                <wp:positionH relativeFrom="column">
                  <wp:posOffset>4491355</wp:posOffset>
                </wp:positionH>
                <wp:positionV relativeFrom="paragraph">
                  <wp:posOffset>4481195</wp:posOffset>
                </wp:positionV>
                <wp:extent cx="269875" cy="134620"/>
                <wp:effectExtent l="0" t="0" r="15875" b="17780"/>
                <wp:wrapNone/>
                <wp:docPr id="1357" name="Rectangle 1357"/>
                <wp:cNvGraphicFramePr/>
                <a:graphic xmlns:a="http://schemas.openxmlformats.org/drawingml/2006/main">
                  <a:graphicData uri="http://schemas.microsoft.com/office/word/2010/wordprocessingShape">
                    <wps:wsp>
                      <wps:cNvSpPr/>
                      <wps:spPr>
                        <a:xfrm>
                          <a:off x="0" y="0"/>
                          <a:ext cx="269875" cy="134620"/>
                        </a:xfrm>
                        <a:prstGeom prst="rect">
                          <a:avLst/>
                        </a:prstGeom>
                        <a:ln w="19050">
                          <a:solidFill>
                            <a:srgbClr val="FF0066"/>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357" o:spid="_x0000_s1026" style="position:absolute;margin-left:353.65pt;margin-top:352.85pt;width:21.25pt;height:10.6pt;z-index:2516920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" fillcolor="#4f81bd [3204]" strokecolor="#f06" strokeweight="1.5pt"/>
            </w:pict>
          </mc:Fallback>
        </mc:AlternateContent>
      </w:r>
      <w:r>
        <w:rPr>
          <w:noProof/>
        </w:rPr>
        <mc:AlternateContent>
          <mc:Choice Requires="wps">
            <w:drawing>
              <wp:anchor distT="0" distB="0" distL="114300" distR="114300" simplePos="0" relativeHeight="251627520" behindDoc="0" locked="0" layoutInCell="1" allowOverlap="1">
                <wp:simplePos x="0" y="0"/>
                <wp:positionH relativeFrom="column">
                  <wp:posOffset>4328795</wp:posOffset>
                </wp:positionH>
                <wp:positionV relativeFrom="paragraph">
                  <wp:posOffset>3886933</wp:posOffset>
                </wp:positionV>
                <wp:extent cx="1695450" cy="843915"/>
                <wp:effectExtent l="0" t="0" r="19050" b="13335"/>
                <wp:wrapNone/>
                <wp:docPr id="30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95450" cy="843915"/>
                        </a:xfrm>
                        <a:prstGeom prst="rect">
                          <a:avLst/>
                        </a:prstGeom>
                        <a:solidFill>
                          <a:srgbClr val="FFFFFF"/>
                        </a:solidFill>
                        <a:ln w="9525">
                          <a:solidFill>
                            <a:srgbClr val="000000"/>
                          </a:solidFill>
                          <a:miter lim="800000"/>
                          <a:headEnd/>
                          <a:tailEnd/>
                        </a:ln>
                      </wps:spPr>
                      <wps:txbx>
                        <w:txbxContent>
                          <w:p>
                            <w:r>
                              <w:tab/>
                              <w:t>Zone urbaine</w:t>
                            </w:r>
                          </w:p>
                          <w:p>
                            <w:pPr>
                              <w:ind w:firstLine="709"/>
                            </w:pPr>
                            <w:r>
                              <w:t>Zone à urbaniser</w:t>
                            </w:r>
                          </w:p>
                          <w:p>
                            <w:pPr>
                              <w:ind w:firstLine="709"/>
                            </w:pPr>
                            <w:r>
                              <w:t>Zone urbaine en ANC</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41" type="#_x0000_t202" style="position:absolute;left:0;text-align:left;margin-left:340.85pt;margin-top:306.05pt;width:133.5pt;height:66.45pt;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">
                <v:textbox>
                  <w:txbxContent>
                    <w:p>
                      <w:r>
                        <w:tab/>
                        <w:t>Zone urbaine</w:t>
                      </w:r>
                    </w:p>
                    <w:p>
                      <w:pPr>
                        <w:ind w:firstLine="709"/>
                      </w:pPr>
                      <w:r>
                        <w:t>Zone à urbaniser</w:t>
                      </w:r>
                    </w:p>
                    <w:p>
                      <w:pPr>
                        <w:ind w:firstLine="709"/>
                      </w:pPr>
                      <w:r>
                        <w:t>Zone urbaine en ANC</w:t>
                      </w:r>
                    </w:p>
                  </w:txbxContent>
                </v:textbox>
              </v:shape>
            </w:pict>
          </mc:Fallback>
        </mc:AlternateContent>
      </w:r>
      <w:r>
        <w:rPr>
          <w:noProof/>
        </w:rPr>
        <mc:AlternateContent>
          <mc:Choice Requires="wps">
            <w:drawing>
              <wp:anchor distT="0" distB="0" distL="114300" distR="114300" simplePos="0" relativeHeight="251689984" behindDoc="0" locked="0" layoutInCell="1" allowOverlap="1">
                <wp:simplePos x="0" y="0"/>
                <wp:positionH relativeFrom="column">
                  <wp:posOffset>120650</wp:posOffset>
                </wp:positionH>
                <wp:positionV relativeFrom="paragraph">
                  <wp:posOffset>3776980</wp:posOffset>
                </wp:positionV>
                <wp:extent cx="1851660" cy="445135"/>
                <wp:effectExtent l="0" t="0" r="0" b="0"/>
                <wp:wrapNone/>
                <wp:docPr id="1353" name="Zone de texte 1353"/>
                <wp:cNvGraphicFramePr/>
                <a:graphic xmlns:a="http://schemas.openxmlformats.org/drawingml/2006/main">
                  <a:graphicData uri="http://schemas.microsoft.com/office/word/2010/wordprocessingShape">
                    <wps:wsp>
                      <wps:cNvSpPr txBox="1"/>
                      <wps:spPr>
                        <a:xfrm>
                          <a:off x="0" y="0"/>
                          <a:ext cx="1851660" cy="4451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rPr>
                                <w:b/>
                                <w:color w:val="FFFFFF" w:themeColor="background1"/>
                              </w:rPr>
                            </w:pPr>
                            <w:r>
                              <w:rPr>
                                <w:b/>
                                <w:color w:val="FFFFFF" w:themeColor="background1"/>
                              </w:rPr>
                              <w:t>Zone 2AUE – les Grands Jardins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1353" o:spid="_x0000_s1042" type="#_x0000_t202" style="position:absolute;left:0;text-align:left;margin-left:9.5pt;margin-top:297.4pt;width:145.8pt;height:35.0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" filled="f" stroked="f" strokeweight=".5pt">
                <v:textbox>
                  <w:txbxContent>
                    <w:p>
                      <w:pPr>
                        <w:rPr>
                          <w:b/>
                          <w:color w:val="FFFFFF" w:themeColor="background1"/>
                        </w:rPr>
                      </w:pPr>
                      <w:r>
                        <w:rPr>
                          <w:b/>
                          <w:color w:val="FFFFFF" w:themeColor="background1"/>
                        </w:rPr>
                        <w:t>Zone 2AUE – les Grands Jardins</w:t>
                      </w:r>
                    </w:p>
                  </w:txbxContent>
                </v:textbox>
              </v:shape>
            </w:pict>
          </mc:Fallback>
        </mc:AlternateContent>
      </w:r>
      <w:r>
        <w:rPr>
          <w:noProof/>
        </w:rPr>
        <mc:AlternateContent>
          <mc:Choice Requires="wps">
            <w:drawing>
              <wp:anchor distT="0" distB="0" distL="114300" distR="114300" simplePos="0" relativeHeight="251687936" behindDoc="0" locked="0" layoutInCell="1" allowOverlap="1">
                <wp:simplePos x="0" y="0"/>
                <wp:positionH relativeFrom="column">
                  <wp:posOffset>1595598</wp:posOffset>
                </wp:positionH>
                <wp:positionV relativeFrom="paragraph">
                  <wp:posOffset>3233808</wp:posOffset>
                </wp:positionV>
                <wp:extent cx="463139" cy="546265"/>
                <wp:effectExtent l="0" t="38100" r="51435" b="25400"/>
                <wp:wrapNone/>
                <wp:docPr id="1352" name="Connecteur droit avec flèche 1352"/>
                <wp:cNvGraphicFramePr/>
                <a:graphic xmlns:a="http://schemas.openxmlformats.org/drawingml/2006/main">
                  <a:graphicData uri="http://schemas.microsoft.com/office/word/2010/wordprocessingShape">
                    <wps:wsp>
                      <wps:cNvCnPr/>
                      <wps:spPr>
                        <a:xfrm flipV="1">
                          <a:off x="0" y="0"/>
                          <a:ext cx="463139" cy="546265"/>
                        </a:xfrm>
                        <a:prstGeom prst="straightConnector1">
                          <a:avLst/>
                        </a:prstGeom>
                        <a:ln w="19050">
                          <a:solidFill>
                            <a:schemeClr val="bg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Connecteur droit avec flèche 1352" o:spid="_x0000_s1026" type="#_x0000_t32" style="position:absolute;margin-left:125.65pt;margin-top:254.65pt;width:36.45pt;height:43pt;flip:y;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" strokecolor="white [3212]" strokeweight="1.5pt">
                <v:stroke endarrow="block"/>
              </v:shape>
            </w:pict>
          </mc:Fallback>
        </mc:AlternateContent>
      </w:r>
      <w:r>
        <w:rPr>
          <w:noProof/>
        </w:rPr>
        <mc:AlternateContent>
          <mc:Choice Requires="wps">
            <w:drawing>
              <wp:anchor distT="0" distB="0" distL="114300" distR="114300" simplePos="0" relativeHeight="251621376" behindDoc="0" locked="0" layoutInCell="1" allowOverlap="1">
                <wp:simplePos x="0" y="0"/>
                <wp:positionH relativeFrom="column">
                  <wp:posOffset>3329305</wp:posOffset>
                </wp:positionH>
                <wp:positionV relativeFrom="paragraph">
                  <wp:posOffset>2983865</wp:posOffset>
                </wp:positionV>
                <wp:extent cx="1851660" cy="445135"/>
                <wp:effectExtent l="0" t="0" r="0" b="0"/>
                <wp:wrapNone/>
                <wp:docPr id="248" name="Zone de texte 248"/>
                <wp:cNvGraphicFramePr/>
                <a:graphic xmlns:a="http://schemas.openxmlformats.org/drawingml/2006/main">
                  <a:graphicData uri="http://schemas.microsoft.com/office/word/2010/wordprocessingShape">
                    <wps:wsp>
                      <wps:cNvSpPr txBox="1"/>
                      <wps:spPr>
                        <a:xfrm>
                          <a:off x="0" y="0"/>
                          <a:ext cx="1851660" cy="4451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rPr>
                                <w:b/>
                                <w:color w:val="FFFFFF" w:themeColor="background1"/>
                              </w:rPr>
                            </w:pPr>
                            <w:r>
                              <w:rPr>
                                <w:b/>
                                <w:color w:val="FFFFFF" w:themeColor="background1"/>
                              </w:rPr>
                              <w:t>Zone 2AU – les Grands Jardins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248" o:spid="_x0000_s1043" type="#_x0000_t202" style="position:absolute;left:0;text-align:left;margin-left:262.15pt;margin-top:234.95pt;width:145.8pt;height:35.05pt;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" filled="f" stroked="f" strokeweight=".5pt">
                <v:textbox>
                  <w:txbxContent>
                    <w:p>
                      <w:pPr>
                        <w:rPr>
                          <w:b/>
                          <w:color w:val="FFFFFF" w:themeColor="background1"/>
                        </w:rPr>
                      </w:pPr>
                      <w:r>
                        <w:rPr>
                          <w:b/>
                          <w:color w:val="FFFFFF" w:themeColor="background1"/>
                        </w:rPr>
                        <w:t>Zone 2AU – les Grands Jardins</w:t>
                      </w:r>
                    </w:p>
                  </w:txbxContent>
                </v:textbox>
              </v:shape>
            </w:pict>
          </mc:Fallback>
        </mc:AlternateContent>
      </w:r>
      <w:r>
        <w:rPr>
          <w:noProof/>
        </w:rPr>
        <mc:AlternateContent>
          <mc:Choice Requires="wps">
            <w:drawing>
              <wp:anchor distT="0" distB="0" distL="114300" distR="114300" simplePos="0" relativeHeight="251623424" behindDoc="0" locked="0" layoutInCell="1" allowOverlap="1">
                <wp:simplePos x="0" y="0"/>
                <wp:positionH relativeFrom="column">
                  <wp:posOffset>2284367</wp:posOffset>
                </wp:positionH>
                <wp:positionV relativeFrom="paragraph">
                  <wp:posOffset>3173466</wp:posOffset>
                </wp:positionV>
                <wp:extent cx="1045029" cy="0"/>
                <wp:effectExtent l="38100" t="76200" r="0" b="95250"/>
                <wp:wrapNone/>
                <wp:docPr id="250" name="Connecteur droit avec flèche 250"/>
                <wp:cNvGraphicFramePr/>
                <a:graphic xmlns:a="http://schemas.openxmlformats.org/drawingml/2006/main">
                  <a:graphicData uri="http://schemas.microsoft.com/office/word/2010/wordprocessingShape">
                    <wps:wsp>
                      <wps:cNvCnPr/>
                      <wps:spPr>
                        <a:xfrm flipH="1">
                          <a:off x="0" y="0"/>
                          <a:ext cx="1045029" cy="0"/>
                        </a:xfrm>
                        <a:prstGeom prst="straightConnector1">
                          <a:avLst/>
                        </a:prstGeom>
                        <a:ln w="19050">
                          <a:solidFill>
                            <a:schemeClr val="bg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Connecteur droit avec flèche 250" o:spid="_x0000_s1026" type="#_x0000_t32" style="position:absolute;margin-left:179.85pt;margin-top:249.9pt;width:82.3pt;height:0;flip:x;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" strokecolor="white [3212]" strokeweight="1.5pt">
                <v:stroke endarrow="block"/>
              </v:shape>
            </w:pict>
          </mc:Fallback>
        </mc:AlternateContent>
      </w:r>
      <w:r>
        <w:rPr>
          <w:noProof/>
        </w:rPr>
        <mc:AlternateContent>
          <mc:Choice Requires="wps">
            <w:drawing>
              <wp:anchor distT="0" distB="0" distL="114300" distR="114300" simplePos="0" relativeHeight="251625472" behindDoc="0" locked="0" layoutInCell="1" allowOverlap="1">
                <wp:simplePos x="0" y="0"/>
                <wp:positionH relativeFrom="column">
                  <wp:posOffset>2728042</wp:posOffset>
                </wp:positionH>
                <wp:positionV relativeFrom="paragraph">
                  <wp:posOffset>2889423</wp:posOffset>
                </wp:positionV>
                <wp:extent cx="613229" cy="285008"/>
                <wp:effectExtent l="38100" t="38100" r="15875" b="20320"/>
                <wp:wrapNone/>
                <wp:docPr id="1499" name="Connecteur droit avec flèche 1499"/>
                <wp:cNvGraphicFramePr/>
                <a:graphic xmlns:a="http://schemas.openxmlformats.org/drawingml/2006/main">
                  <a:graphicData uri="http://schemas.microsoft.com/office/word/2010/wordprocessingShape">
                    <wps:wsp>
                      <wps:cNvCnPr/>
                      <wps:spPr>
                        <a:xfrm flipH="1" flipV="1">
                          <a:off x="0" y="0"/>
                          <a:ext cx="613229" cy="285008"/>
                        </a:xfrm>
                        <a:prstGeom prst="straightConnector1">
                          <a:avLst/>
                        </a:prstGeom>
                        <a:ln w="19050">
                          <a:solidFill>
                            <a:schemeClr val="bg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Connecteur droit avec flèche 1499" o:spid="_x0000_s1026" type="#_x0000_t32" style="position:absolute;margin-left:214.8pt;margin-top:227.5pt;width:48.3pt;height:22.45pt;flip:x y;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" strokecolor="white [3212]" strokeweight="1.5pt">
                <v:stroke endarrow="block"/>
              </v:shape>
            </w:pict>
          </mc:Fallback>
        </mc:AlternateContent>
      </w:r>
      <w:r>
        <w:rPr>
          <w:noProof/>
        </w:rPr>
        <w:t xml:space="preserve"> </w:t>
      </w:r>
      <w:r>
        <w:rPr>
          <w:noProof/>
        </w:rPr>
        <w:drawing>
          <wp:inline distT="0" distB="0" distL="0" distR="0">
            <wp:extent cx="5972810" cy="4638675"/>
            <wp:effectExtent l="19050" t="19050" r="27940" b="2857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972810" cy="4638675"/>
                    </a:xfrm>
                    <a:prstGeom prst="rect">
                      <a:avLst/>
                    </a:prstGeom>
                    <a:ln>
                      <a:solidFill>
                        <a:schemeClr val="tx1"/>
                      </a:solidFill>
                    </a:ln>
                  </pic:spPr>
                </pic:pic>
              </a:graphicData>
            </a:graphic>
          </wp:inline>
        </w:drawing>
      </w:r>
    </w:p>
    <w:p>
      <w:pPr>
        <w:autoSpaceDE w:val="0"/>
        <w:autoSpaceDN w:val="0"/>
        <w:adjustRightInd w:val="0"/>
        <w:spacing w:before="0"/>
      </w:pPr>
      <w:bookmarkStart w:id="33" w:name="_Toc46480269"/>
    </w:p>
    <w:p>
      <w:pPr>
        <w:autoSpaceDE w:val="0"/>
        <w:autoSpaceDN w:val="0"/>
        <w:adjustRightInd w:val="0"/>
        <w:spacing w:before="0"/>
      </w:pPr>
      <w:r>
        <w:t xml:space="preserve">La desserte des zones classées en zone d’assainissement collectif futur engendrera une extension du réseau de collecte. Des travaux importants peuvent dans ce cas être nécessaires pour se raccorder sur le réseau existant (notamment si les infrastructures existantes à l’aval n’ont pas les capacités suffisantes ou si l’altimétrie des installations n’est pas cohérente avec le projet). Ces travaux seront à la charge de l’aménageur de la zone. </w:t>
      </w:r>
    </w:p>
    <w:p>
      <w:pPr>
        <w:pStyle w:val="Titre2"/>
      </w:pPr>
      <w:bookmarkStart w:id="34" w:name="_Toc46480270"/>
      <w:bookmarkStart w:id="35" w:name="_Toc92700760"/>
      <w:bookmarkEnd w:id="33"/>
      <w:r>
        <w:t>Traitement des eaux usées</w:t>
      </w:r>
      <w:bookmarkEnd w:id="34"/>
      <w:bookmarkEnd w:id="35"/>
    </w:p>
    <w:p>
      <w:pPr>
        <w:pStyle w:val="Titre3"/>
      </w:pPr>
      <w:bookmarkStart w:id="36" w:name="_Toc46480272"/>
      <w:bookmarkStart w:id="37" w:name="_Toc92700761"/>
      <w:r>
        <w:t>Charges à considérer</w:t>
      </w:r>
      <w:bookmarkEnd w:id="36"/>
      <w:bookmarkEnd w:id="37"/>
    </w:p>
    <w:p/>
    <w:p>
      <w:pPr>
        <w:pStyle w:val="Retrait0Bleu"/>
      </w:pPr>
      <w:r>
        <w:t xml:space="preserve">Bilan des charges futures collectées </w:t>
      </w:r>
    </w:p>
    <w:p>
      <w:pPr>
        <w:spacing w:after="120"/>
      </w:pPr>
      <w:r>
        <w:t>Les charges organiques futures estimées à l’horizon 2030 et 2040 sont indiquées dans le tableau ci-après. L’horizon 2030 correspond à l’horizon d’échéance du PLU de Saint-</w:t>
      </w:r>
      <w:proofErr w:type="spellStart"/>
      <w:r>
        <w:t>Gervasy</w:t>
      </w:r>
      <w:proofErr w:type="spellEnd"/>
      <w:r>
        <w:t xml:space="preserve"> et 2040 un horizon plus lointain.</w:t>
      </w:r>
    </w:p>
    <w:tbl>
      <w:tblPr>
        <w:tblW w:w="7059" w:type="dxa"/>
        <w:jc w:val="center"/>
        <w:tblCellMar>
          <w:left w:w="70" w:type="dxa"/>
          <w:right w:w="70" w:type="dxa"/>
        </w:tblCellMar>
        <w:tblLook w:val="04A0" w:firstRow="1" w:lastRow="0" w:firstColumn="1" w:lastColumn="0" w:noHBand="0" w:noVBand="1"/>
      </w:tblPr>
      <w:tblGrid>
        <w:gridCol w:w="4659"/>
        <w:gridCol w:w="1200"/>
        <w:gridCol w:w="1200"/>
      </w:tblGrid>
      <w:tr>
        <w:trPr>
          <w:trHeight w:val="780"/>
          <w:jc w:val="center"/>
        </w:trPr>
        <w:tc>
          <w:tcPr>
            <w:tcW w:w="4659" w:type="dxa"/>
            <w:tcBorders>
              <w:top w:val="single" w:sz="8" w:space="0" w:color="auto"/>
              <w:left w:val="single" w:sz="8" w:space="0" w:color="auto"/>
              <w:bottom w:val="single" w:sz="8" w:space="0" w:color="auto"/>
              <w:right w:val="single" w:sz="8" w:space="0" w:color="auto"/>
            </w:tcBorders>
            <w:shd w:val="clear" w:color="000000" w:fill="8DB3E2" w:themeFill="text2" w:themeFillTint="66"/>
            <w:vAlign w:val="center"/>
            <w:hideMark/>
          </w:tcPr>
          <w:p>
            <w:pPr>
              <w:spacing w:before="0"/>
              <w:jc w:val="center"/>
              <w:rPr>
                <w:rFonts w:cs="Calibri"/>
                <w:b/>
                <w:bCs/>
                <w:color w:val="FFFFFF"/>
              </w:rPr>
            </w:pPr>
            <w:r>
              <w:rPr>
                <w:rFonts w:cs="Calibri"/>
                <w:b/>
                <w:bCs/>
                <w:color w:val="FFFFFF"/>
              </w:rPr>
              <w:t>CHARGES STEU</w:t>
            </w:r>
          </w:p>
        </w:tc>
        <w:tc>
          <w:tcPr>
            <w:tcW w:w="1200" w:type="dxa"/>
            <w:tcBorders>
              <w:top w:val="single" w:sz="8" w:space="0" w:color="auto"/>
              <w:left w:val="nil"/>
              <w:bottom w:val="single" w:sz="8" w:space="0" w:color="auto"/>
              <w:right w:val="single" w:sz="8" w:space="0" w:color="auto"/>
            </w:tcBorders>
            <w:shd w:val="clear" w:color="000000" w:fill="8DB3E2" w:themeFill="text2" w:themeFillTint="66"/>
            <w:vAlign w:val="center"/>
            <w:hideMark/>
          </w:tcPr>
          <w:p>
            <w:pPr>
              <w:spacing w:before="0"/>
              <w:jc w:val="center"/>
              <w:rPr>
                <w:rFonts w:cs="Calibri"/>
                <w:b/>
                <w:bCs/>
                <w:color w:val="FFFFFF"/>
              </w:rPr>
            </w:pPr>
            <w:r>
              <w:rPr>
                <w:rFonts w:cs="Calibri"/>
                <w:b/>
                <w:bCs/>
                <w:color w:val="FFFFFF"/>
              </w:rPr>
              <w:t>Charge polluante  (EH)</w:t>
            </w:r>
          </w:p>
        </w:tc>
        <w:tc>
          <w:tcPr>
            <w:tcW w:w="1200" w:type="dxa"/>
            <w:tcBorders>
              <w:top w:val="single" w:sz="8" w:space="0" w:color="auto"/>
              <w:left w:val="nil"/>
              <w:bottom w:val="single" w:sz="8" w:space="0" w:color="auto"/>
              <w:right w:val="single" w:sz="8" w:space="0" w:color="auto"/>
            </w:tcBorders>
            <w:shd w:val="clear" w:color="000000" w:fill="8DB3E2" w:themeFill="text2" w:themeFillTint="66"/>
            <w:vAlign w:val="center"/>
            <w:hideMark/>
          </w:tcPr>
          <w:p>
            <w:pPr>
              <w:spacing w:before="0"/>
              <w:jc w:val="center"/>
              <w:rPr>
                <w:rFonts w:cs="Calibri"/>
                <w:b/>
                <w:bCs/>
                <w:color w:val="FFFFFF"/>
              </w:rPr>
            </w:pPr>
            <w:r>
              <w:rPr>
                <w:rFonts w:cs="Calibri"/>
                <w:b/>
                <w:bCs/>
                <w:color w:val="FFFFFF"/>
              </w:rPr>
              <w:t>Charge hydraulique (m</w:t>
            </w:r>
            <w:r>
              <w:rPr>
                <w:rFonts w:cs="Calibri"/>
                <w:b/>
                <w:bCs/>
                <w:color w:val="FFFFFF"/>
                <w:vertAlign w:val="superscript"/>
              </w:rPr>
              <w:t>3</w:t>
            </w:r>
            <w:r>
              <w:rPr>
                <w:rFonts w:cs="Calibri"/>
                <w:b/>
                <w:bCs/>
                <w:color w:val="FFFFFF"/>
              </w:rPr>
              <w:t xml:space="preserve">/j) </w:t>
            </w:r>
            <w:r>
              <w:rPr>
                <w:rFonts w:cs="Calibri"/>
                <w:b/>
                <w:bCs/>
                <w:color w:val="FFFFFF"/>
                <w:vertAlign w:val="subscript"/>
              </w:rPr>
              <w:t>(2)</w:t>
            </w:r>
          </w:p>
        </w:tc>
      </w:tr>
      <w:tr>
        <w:trPr>
          <w:trHeight w:val="50"/>
          <w:jc w:val="center"/>
        </w:trPr>
        <w:tc>
          <w:tcPr>
            <w:tcW w:w="4659" w:type="dxa"/>
            <w:tcBorders>
              <w:top w:val="nil"/>
              <w:left w:val="single" w:sz="8" w:space="0" w:color="auto"/>
              <w:bottom w:val="single" w:sz="8" w:space="0" w:color="auto"/>
              <w:right w:val="single" w:sz="8" w:space="0" w:color="auto"/>
            </w:tcBorders>
            <w:shd w:val="clear" w:color="auto" w:fill="auto"/>
            <w:vAlign w:val="center"/>
            <w:hideMark/>
          </w:tcPr>
          <w:p>
            <w:pPr>
              <w:rPr>
                <w:rFonts w:cs="Calibri"/>
                <w:b/>
                <w:color w:val="000000"/>
              </w:rPr>
            </w:pPr>
            <w:r>
              <w:rPr>
                <w:rFonts w:cs="Calibri"/>
                <w:b/>
                <w:color w:val="000000"/>
              </w:rPr>
              <w:t>Charges STEU actuelle (1) – entrée STEU hors charges transférées vers Marguerittes (300m</w:t>
            </w:r>
            <w:r>
              <w:rPr>
                <w:rFonts w:cs="Calibri"/>
                <w:b/>
                <w:color w:val="000000"/>
                <w:vertAlign w:val="superscript"/>
              </w:rPr>
              <w:t>3</w:t>
            </w:r>
            <w:r>
              <w:rPr>
                <w:rFonts w:cs="Calibri"/>
                <w:b/>
                <w:color w:val="000000"/>
              </w:rPr>
              <w:t>/j et 800 EH)</w:t>
            </w:r>
          </w:p>
        </w:tc>
        <w:tc>
          <w:tcPr>
            <w:tcW w:w="1200" w:type="dxa"/>
            <w:tcBorders>
              <w:top w:val="nil"/>
              <w:left w:val="nil"/>
              <w:bottom w:val="single" w:sz="8" w:space="0" w:color="auto"/>
              <w:right w:val="single" w:sz="8" w:space="0" w:color="auto"/>
            </w:tcBorders>
            <w:shd w:val="clear" w:color="auto" w:fill="auto"/>
            <w:vAlign w:val="center"/>
            <w:hideMark/>
          </w:tcPr>
          <w:p>
            <w:pPr>
              <w:jc w:val="center"/>
              <w:rPr>
                <w:rFonts w:cs="Calibri"/>
                <w:b/>
                <w:color w:val="000000"/>
              </w:rPr>
            </w:pPr>
            <w:r>
              <w:rPr>
                <w:rFonts w:cs="Calibri"/>
                <w:color w:val="000000"/>
              </w:rPr>
              <w:t>6 667</w:t>
            </w:r>
          </w:p>
        </w:tc>
        <w:tc>
          <w:tcPr>
            <w:tcW w:w="1200" w:type="dxa"/>
            <w:tcBorders>
              <w:top w:val="nil"/>
              <w:left w:val="nil"/>
              <w:bottom w:val="single" w:sz="8" w:space="0" w:color="auto"/>
              <w:right w:val="single" w:sz="8" w:space="0" w:color="auto"/>
            </w:tcBorders>
            <w:shd w:val="clear" w:color="auto" w:fill="auto"/>
            <w:vAlign w:val="center"/>
            <w:hideMark/>
          </w:tcPr>
          <w:p>
            <w:pPr>
              <w:jc w:val="center"/>
              <w:rPr>
                <w:rFonts w:cs="Calibri"/>
                <w:b/>
                <w:color w:val="000000"/>
              </w:rPr>
            </w:pPr>
            <w:r>
              <w:rPr>
                <w:rFonts w:cs="Calibri"/>
                <w:color w:val="000000"/>
              </w:rPr>
              <w:t>1 335</w:t>
            </w:r>
          </w:p>
        </w:tc>
      </w:tr>
      <w:tr>
        <w:trPr>
          <w:trHeight w:val="50"/>
          <w:jc w:val="center"/>
        </w:trPr>
        <w:tc>
          <w:tcPr>
            <w:tcW w:w="4659" w:type="dxa"/>
            <w:tcBorders>
              <w:top w:val="nil"/>
              <w:left w:val="single" w:sz="8" w:space="0" w:color="auto"/>
              <w:bottom w:val="single" w:sz="8" w:space="0" w:color="auto"/>
              <w:right w:val="single" w:sz="8" w:space="0" w:color="auto"/>
            </w:tcBorders>
            <w:shd w:val="clear" w:color="auto" w:fill="auto"/>
            <w:vAlign w:val="center"/>
            <w:hideMark/>
          </w:tcPr>
          <w:p>
            <w:pPr>
              <w:rPr>
                <w:rFonts w:cs="Calibri"/>
                <w:color w:val="000000"/>
              </w:rPr>
            </w:pPr>
            <w:r>
              <w:rPr>
                <w:rFonts w:cs="Calibri"/>
                <w:color w:val="000000"/>
              </w:rPr>
              <w:t>Augmentation (raccordements ANC)</w:t>
            </w:r>
          </w:p>
        </w:tc>
        <w:tc>
          <w:tcPr>
            <w:tcW w:w="1200" w:type="dxa"/>
            <w:tcBorders>
              <w:top w:val="nil"/>
              <w:left w:val="nil"/>
              <w:bottom w:val="single" w:sz="8" w:space="0" w:color="auto"/>
              <w:right w:val="single" w:sz="8" w:space="0" w:color="auto"/>
            </w:tcBorders>
            <w:shd w:val="clear" w:color="auto" w:fill="auto"/>
            <w:vAlign w:val="center"/>
            <w:hideMark/>
          </w:tcPr>
          <w:p>
            <w:pPr>
              <w:jc w:val="center"/>
              <w:rPr>
                <w:rFonts w:cs="Calibri"/>
                <w:color w:val="000000"/>
              </w:rPr>
            </w:pPr>
            <w:r>
              <w:rPr>
                <w:rFonts w:cs="Calibri"/>
                <w:color w:val="000000"/>
              </w:rPr>
              <w:t>0</w:t>
            </w:r>
          </w:p>
        </w:tc>
        <w:tc>
          <w:tcPr>
            <w:tcW w:w="1200" w:type="dxa"/>
            <w:tcBorders>
              <w:top w:val="nil"/>
              <w:left w:val="nil"/>
              <w:bottom w:val="single" w:sz="8" w:space="0" w:color="auto"/>
              <w:right w:val="single" w:sz="8" w:space="0" w:color="auto"/>
            </w:tcBorders>
            <w:shd w:val="clear" w:color="auto" w:fill="auto"/>
            <w:vAlign w:val="center"/>
            <w:hideMark/>
          </w:tcPr>
          <w:p>
            <w:pPr>
              <w:jc w:val="center"/>
              <w:rPr>
                <w:rFonts w:cs="Calibri"/>
                <w:color w:val="000000"/>
              </w:rPr>
            </w:pPr>
            <w:r>
              <w:rPr>
                <w:rFonts w:cs="Calibri"/>
                <w:color w:val="000000"/>
              </w:rPr>
              <w:t>0</w:t>
            </w:r>
          </w:p>
        </w:tc>
      </w:tr>
      <w:tr>
        <w:trPr>
          <w:trHeight w:val="50"/>
          <w:jc w:val="center"/>
        </w:trPr>
        <w:tc>
          <w:tcPr>
            <w:tcW w:w="4659" w:type="dxa"/>
            <w:tcBorders>
              <w:top w:val="nil"/>
              <w:left w:val="single" w:sz="8" w:space="0" w:color="auto"/>
              <w:bottom w:val="single" w:sz="8" w:space="0" w:color="auto"/>
              <w:right w:val="single" w:sz="8" w:space="0" w:color="auto"/>
            </w:tcBorders>
            <w:shd w:val="clear" w:color="auto" w:fill="auto"/>
            <w:vAlign w:val="center"/>
            <w:hideMark/>
          </w:tcPr>
          <w:p>
            <w:pPr>
              <w:rPr>
                <w:rFonts w:cs="Calibri"/>
              </w:rPr>
            </w:pPr>
            <w:r>
              <w:rPr>
                <w:rFonts w:cs="Calibri"/>
              </w:rPr>
              <w:t>Augmentation démographique 2020-2030 (6500 habitants en 2030)</w:t>
            </w:r>
          </w:p>
        </w:tc>
        <w:tc>
          <w:tcPr>
            <w:tcW w:w="1200" w:type="dxa"/>
            <w:tcBorders>
              <w:top w:val="nil"/>
              <w:left w:val="nil"/>
              <w:bottom w:val="single" w:sz="8" w:space="0" w:color="auto"/>
              <w:right w:val="single" w:sz="8" w:space="0" w:color="auto"/>
            </w:tcBorders>
            <w:shd w:val="clear" w:color="auto" w:fill="auto"/>
            <w:vAlign w:val="center"/>
            <w:hideMark/>
          </w:tcPr>
          <w:p>
            <w:pPr>
              <w:jc w:val="center"/>
              <w:rPr>
                <w:rFonts w:cs="Calibri"/>
                <w:color w:val="000000"/>
              </w:rPr>
            </w:pPr>
            <w:r>
              <w:rPr>
                <w:rFonts w:cs="Calibri"/>
                <w:color w:val="000000"/>
              </w:rPr>
              <w:t>524</w:t>
            </w:r>
          </w:p>
        </w:tc>
        <w:tc>
          <w:tcPr>
            <w:tcW w:w="1200" w:type="dxa"/>
            <w:tcBorders>
              <w:top w:val="nil"/>
              <w:left w:val="nil"/>
              <w:bottom w:val="single" w:sz="8" w:space="0" w:color="auto"/>
              <w:right w:val="single" w:sz="8" w:space="0" w:color="auto"/>
            </w:tcBorders>
            <w:shd w:val="clear" w:color="auto" w:fill="auto"/>
            <w:vAlign w:val="center"/>
            <w:hideMark/>
          </w:tcPr>
          <w:p>
            <w:pPr>
              <w:jc w:val="center"/>
              <w:rPr>
                <w:rFonts w:cs="Calibri"/>
                <w:color w:val="000000"/>
              </w:rPr>
            </w:pPr>
            <w:r>
              <w:rPr>
                <w:rFonts w:cs="Calibri"/>
                <w:color w:val="000000"/>
              </w:rPr>
              <w:t>59</w:t>
            </w:r>
          </w:p>
        </w:tc>
      </w:tr>
      <w:tr>
        <w:trPr>
          <w:trHeight w:val="50"/>
          <w:jc w:val="center"/>
        </w:trPr>
        <w:tc>
          <w:tcPr>
            <w:tcW w:w="4659" w:type="dxa"/>
            <w:tcBorders>
              <w:top w:val="nil"/>
              <w:left w:val="single" w:sz="8" w:space="0" w:color="auto"/>
              <w:bottom w:val="single" w:sz="8" w:space="0" w:color="auto"/>
              <w:right w:val="single" w:sz="8" w:space="0" w:color="auto"/>
            </w:tcBorders>
            <w:shd w:val="clear" w:color="auto" w:fill="auto"/>
            <w:vAlign w:val="center"/>
            <w:hideMark/>
          </w:tcPr>
          <w:p>
            <w:pPr>
              <w:rPr>
                <w:rFonts w:cs="Calibri"/>
                <w:b/>
                <w:bCs/>
                <w:color w:val="000000"/>
              </w:rPr>
            </w:pPr>
            <w:r>
              <w:rPr>
                <w:rFonts w:cs="Calibri"/>
                <w:b/>
                <w:bCs/>
                <w:color w:val="000000"/>
              </w:rPr>
              <w:lastRenderedPageBreak/>
              <w:t xml:space="preserve">Charges Horizon 2030 </w:t>
            </w:r>
            <w:r>
              <w:rPr>
                <w:rFonts w:cs="Calibri"/>
                <w:b/>
                <w:color w:val="000000"/>
              </w:rPr>
              <w:t>– entrée STEU hors charges transférées vers Marguerittes (300m</w:t>
            </w:r>
            <w:r>
              <w:rPr>
                <w:rFonts w:cs="Calibri"/>
                <w:b/>
                <w:color w:val="000000"/>
                <w:vertAlign w:val="superscript"/>
              </w:rPr>
              <w:t>3</w:t>
            </w:r>
            <w:r>
              <w:rPr>
                <w:rFonts w:cs="Calibri"/>
                <w:b/>
                <w:color w:val="000000"/>
              </w:rPr>
              <w:t>/j et 800 EH)</w:t>
            </w:r>
          </w:p>
        </w:tc>
        <w:tc>
          <w:tcPr>
            <w:tcW w:w="1200" w:type="dxa"/>
            <w:tcBorders>
              <w:top w:val="nil"/>
              <w:left w:val="nil"/>
              <w:bottom w:val="single" w:sz="8" w:space="0" w:color="auto"/>
              <w:right w:val="single" w:sz="8" w:space="0" w:color="auto"/>
            </w:tcBorders>
            <w:shd w:val="clear" w:color="auto" w:fill="auto"/>
            <w:vAlign w:val="center"/>
            <w:hideMark/>
          </w:tcPr>
          <w:p>
            <w:pPr>
              <w:jc w:val="center"/>
              <w:rPr>
                <w:rFonts w:cs="Calibri"/>
                <w:b/>
                <w:bCs/>
                <w:color w:val="000000"/>
              </w:rPr>
            </w:pPr>
            <w:r>
              <w:rPr>
                <w:rFonts w:cs="Calibri"/>
                <w:b/>
                <w:bCs/>
                <w:color w:val="000000"/>
              </w:rPr>
              <w:t>7 190</w:t>
            </w:r>
          </w:p>
        </w:tc>
        <w:tc>
          <w:tcPr>
            <w:tcW w:w="1200" w:type="dxa"/>
            <w:tcBorders>
              <w:top w:val="nil"/>
              <w:left w:val="nil"/>
              <w:bottom w:val="single" w:sz="8" w:space="0" w:color="auto"/>
              <w:right w:val="single" w:sz="8" w:space="0" w:color="auto"/>
            </w:tcBorders>
            <w:shd w:val="clear" w:color="auto" w:fill="auto"/>
            <w:vAlign w:val="center"/>
            <w:hideMark/>
          </w:tcPr>
          <w:p>
            <w:pPr>
              <w:jc w:val="center"/>
              <w:rPr>
                <w:rFonts w:cs="Calibri"/>
                <w:b/>
                <w:bCs/>
                <w:color w:val="000000"/>
              </w:rPr>
            </w:pPr>
            <w:r>
              <w:rPr>
                <w:rFonts w:cs="Calibri"/>
                <w:b/>
                <w:bCs/>
                <w:color w:val="000000"/>
              </w:rPr>
              <w:t>1 394</w:t>
            </w:r>
          </w:p>
        </w:tc>
      </w:tr>
      <w:tr>
        <w:trPr>
          <w:trHeight w:val="50"/>
          <w:jc w:val="center"/>
        </w:trPr>
        <w:tc>
          <w:tcPr>
            <w:tcW w:w="4659" w:type="dxa"/>
            <w:tcBorders>
              <w:top w:val="nil"/>
              <w:left w:val="single" w:sz="8" w:space="0" w:color="auto"/>
              <w:bottom w:val="single" w:sz="8" w:space="0" w:color="auto"/>
              <w:right w:val="single" w:sz="8" w:space="0" w:color="auto"/>
            </w:tcBorders>
            <w:shd w:val="clear" w:color="auto" w:fill="auto"/>
            <w:vAlign w:val="center"/>
            <w:hideMark/>
          </w:tcPr>
          <w:p>
            <w:pPr>
              <w:rPr>
                <w:rFonts w:cs="Calibri"/>
                <w:color w:val="000000"/>
              </w:rPr>
            </w:pPr>
            <w:r>
              <w:rPr>
                <w:rFonts w:cs="Calibri"/>
                <w:color w:val="000000"/>
              </w:rPr>
              <w:t xml:space="preserve">Augmentation démographique 2030-2040 (+1%/an pour Saint- </w:t>
            </w:r>
            <w:proofErr w:type="spellStart"/>
            <w:r>
              <w:rPr>
                <w:rFonts w:cs="Calibri"/>
                <w:color w:val="000000"/>
              </w:rPr>
              <w:t>Gervasy</w:t>
            </w:r>
            <w:proofErr w:type="spellEnd"/>
            <w:r>
              <w:rPr>
                <w:rFonts w:cs="Calibri"/>
                <w:color w:val="000000"/>
              </w:rPr>
              <w:t xml:space="preserve"> et </w:t>
            </w:r>
            <w:proofErr w:type="spellStart"/>
            <w:r>
              <w:rPr>
                <w:rFonts w:cs="Calibri"/>
                <w:color w:val="000000"/>
              </w:rPr>
              <w:t>Cabrières</w:t>
            </w:r>
            <w:proofErr w:type="spellEnd"/>
            <w:r>
              <w:rPr>
                <w:rFonts w:cs="Calibri"/>
                <w:color w:val="000000"/>
              </w:rPr>
              <w:t xml:space="preserve"> ; +0,8% pour </w:t>
            </w:r>
            <w:proofErr w:type="spellStart"/>
            <w:r>
              <w:rPr>
                <w:rFonts w:cs="Calibri"/>
                <w:color w:val="000000"/>
              </w:rPr>
              <w:t>Bezouce</w:t>
            </w:r>
            <w:proofErr w:type="spellEnd"/>
            <w:r>
              <w:rPr>
                <w:rFonts w:cs="Calibri"/>
                <w:color w:val="000000"/>
              </w:rPr>
              <w:t>)</w:t>
            </w:r>
          </w:p>
        </w:tc>
        <w:tc>
          <w:tcPr>
            <w:tcW w:w="1200" w:type="dxa"/>
            <w:tcBorders>
              <w:top w:val="nil"/>
              <w:left w:val="nil"/>
              <w:bottom w:val="single" w:sz="8" w:space="0" w:color="auto"/>
              <w:right w:val="single" w:sz="8" w:space="0" w:color="auto"/>
            </w:tcBorders>
            <w:shd w:val="clear" w:color="auto" w:fill="auto"/>
            <w:vAlign w:val="center"/>
            <w:hideMark/>
          </w:tcPr>
          <w:p>
            <w:pPr>
              <w:jc w:val="center"/>
              <w:rPr>
                <w:rFonts w:cs="Calibri"/>
                <w:color w:val="000000"/>
              </w:rPr>
            </w:pPr>
            <w:r>
              <w:rPr>
                <w:rFonts w:cs="Calibri"/>
                <w:color w:val="000000"/>
              </w:rPr>
              <w:t>618</w:t>
            </w:r>
          </w:p>
        </w:tc>
        <w:tc>
          <w:tcPr>
            <w:tcW w:w="1200" w:type="dxa"/>
            <w:tcBorders>
              <w:top w:val="nil"/>
              <w:left w:val="nil"/>
              <w:bottom w:val="single" w:sz="8" w:space="0" w:color="auto"/>
              <w:right w:val="single" w:sz="8" w:space="0" w:color="auto"/>
            </w:tcBorders>
            <w:shd w:val="clear" w:color="auto" w:fill="auto"/>
            <w:vAlign w:val="center"/>
            <w:hideMark/>
          </w:tcPr>
          <w:p>
            <w:pPr>
              <w:jc w:val="center"/>
              <w:rPr>
                <w:rFonts w:cs="Calibri"/>
                <w:color w:val="000000"/>
              </w:rPr>
            </w:pPr>
            <w:r>
              <w:rPr>
                <w:rFonts w:cs="Calibri"/>
                <w:color w:val="000000"/>
              </w:rPr>
              <w:t>70</w:t>
            </w:r>
          </w:p>
        </w:tc>
      </w:tr>
      <w:tr>
        <w:trPr>
          <w:trHeight w:val="50"/>
          <w:jc w:val="center"/>
        </w:trPr>
        <w:tc>
          <w:tcPr>
            <w:tcW w:w="4659" w:type="dxa"/>
            <w:tcBorders>
              <w:top w:val="nil"/>
              <w:left w:val="single" w:sz="8" w:space="0" w:color="auto"/>
              <w:bottom w:val="single" w:sz="8" w:space="0" w:color="auto"/>
              <w:right w:val="single" w:sz="8" w:space="0" w:color="auto"/>
            </w:tcBorders>
            <w:shd w:val="clear" w:color="auto" w:fill="auto"/>
            <w:vAlign w:val="center"/>
            <w:hideMark/>
          </w:tcPr>
          <w:p>
            <w:pPr>
              <w:rPr>
                <w:rFonts w:cs="Calibri"/>
                <w:b/>
                <w:bCs/>
                <w:color w:val="000000"/>
              </w:rPr>
            </w:pPr>
            <w:r>
              <w:rPr>
                <w:rFonts w:cs="Calibri"/>
                <w:b/>
                <w:bCs/>
                <w:color w:val="000000"/>
              </w:rPr>
              <w:t xml:space="preserve">Charges Horizon 2040 </w:t>
            </w:r>
            <w:r>
              <w:rPr>
                <w:rFonts w:cs="Calibri"/>
                <w:b/>
                <w:color w:val="000000"/>
              </w:rPr>
              <w:t>– entrée STEU hors charges transférées vers Marguerittes (300m</w:t>
            </w:r>
            <w:r>
              <w:rPr>
                <w:rFonts w:cs="Calibri"/>
                <w:b/>
                <w:color w:val="000000"/>
                <w:vertAlign w:val="superscript"/>
              </w:rPr>
              <w:t>3</w:t>
            </w:r>
            <w:r>
              <w:rPr>
                <w:rFonts w:cs="Calibri"/>
                <w:b/>
                <w:color w:val="000000"/>
              </w:rPr>
              <w:t>/j et 800 EH)</w:t>
            </w:r>
          </w:p>
        </w:tc>
        <w:tc>
          <w:tcPr>
            <w:tcW w:w="1200" w:type="dxa"/>
            <w:tcBorders>
              <w:top w:val="nil"/>
              <w:left w:val="nil"/>
              <w:bottom w:val="single" w:sz="8" w:space="0" w:color="auto"/>
              <w:right w:val="single" w:sz="8" w:space="0" w:color="auto"/>
            </w:tcBorders>
            <w:shd w:val="clear" w:color="auto" w:fill="auto"/>
            <w:vAlign w:val="center"/>
            <w:hideMark/>
          </w:tcPr>
          <w:p>
            <w:pPr>
              <w:jc w:val="center"/>
              <w:rPr>
                <w:rFonts w:cs="Calibri"/>
                <w:b/>
                <w:bCs/>
                <w:color w:val="000000"/>
              </w:rPr>
            </w:pPr>
            <w:r>
              <w:rPr>
                <w:rFonts w:cs="Calibri"/>
                <w:b/>
                <w:bCs/>
                <w:color w:val="000000"/>
              </w:rPr>
              <w:t>7 808</w:t>
            </w:r>
          </w:p>
        </w:tc>
        <w:tc>
          <w:tcPr>
            <w:tcW w:w="1200" w:type="dxa"/>
            <w:tcBorders>
              <w:top w:val="nil"/>
              <w:left w:val="nil"/>
              <w:bottom w:val="single" w:sz="8" w:space="0" w:color="auto"/>
              <w:right w:val="single" w:sz="8" w:space="0" w:color="auto"/>
            </w:tcBorders>
            <w:shd w:val="clear" w:color="auto" w:fill="auto"/>
            <w:vAlign w:val="center"/>
            <w:hideMark/>
          </w:tcPr>
          <w:p>
            <w:pPr>
              <w:jc w:val="center"/>
              <w:rPr>
                <w:rFonts w:cs="Calibri"/>
                <w:b/>
                <w:bCs/>
                <w:color w:val="000000"/>
              </w:rPr>
            </w:pPr>
            <w:r>
              <w:rPr>
                <w:rFonts w:cs="Calibri"/>
                <w:b/>
                <w:bCs/>
                <w:color w:val="000000"/>
              </w:rPr>
              <w:t>1 464</w:t>
            </w:r>
          </w:p>
        </w:tc>
      </w:tr>
    </w:tbl>
    <w:p>
      <w:pPr>
        <w:pStyle w:val="Lgende"/>
        <w:rPr>
          <w:szCs w:val="20"/>
        </w:rPr>
      </w:pPr>
      <w:bookmarkStart w:id="38" w:name="_Toc46480590"/>
      <w:r>
        <w:rPr>
          <w:szCs w:val="20"/>
        </w:rPr>
        <w:t xml:space="preserve">                           Charges futures horizons 2030 et 2040</w:t>
      </w:r>
      <w:bookmarkEnd w:id="38"/>
    </w:p>
    <w:p>
      <w:pPr>
        <w:pStyle w:val="Paragraphedeliste"/>
        <w:numPr>
          <w:ilvl w:val="0"/>
          <w:numId w:val="14"/>
        </w:numPr>
        <w:spacing w:after="120"/>
      </w:pPr>
      <w:r>
        <w:t>Percentile 95 de 2016 à 2020 pour la charge hydraulique et CBPO de 2016 à 2020 pour la charge polluante</w:t>
      </w:r>
    </w:p>
    <w:p>
      <w:pPr>
        <w:pStyle w:val="Paragraphedeliste"/>
        <w:numPr>
          <w:ilvl w:val="0"/>
          <w:numId w:val="14"/>
        </w:numPr>
        <w:spacing w:after="120"/>
      </w:pPr>
      <w:r>
        <w:t xml:space="preserve">Base 120l/jour/habitant supplémentaire pour la commune de </w:t>
      </w:r>
      <w:proofErr w:type="spellStart"/>
      <w:r>
        <w:t>Bezouce</w:t>
      </w:r>
      <w:proofErr w:type="spellEnd"/>
      <w:r>
        <w:t>, 100 l/habitant/jour pour la commune de Saint-</w:t>
      </w:r>
      <w:proofErr w:type="spellStart"/>
      <w:r>
        <w:t>Gervasy</w:t>
      </w:r>
      <w:proofErr w:type="spellEnd"/>
      <w:r>
        <w:t xml:space="preserve"> et 110 l/habitant/jour pour la commune de </w:t>
      </w:r>
      <w:proofErr w:type="spellStart"/>
      <w:r>
        <w:t>Cabrières</w:t>
      </w:r>
      <w:proofErr w:type="spellEnd"/>
      <w:r>
        <w:t>.</w:t>
      </w:r>
    </w:p>
    <w:p>
      <w:pPr>
        <w:spacing w:after="120"/>
      </w:pPr>
      <w:r>
        <w:t>Ces résultats mettent en évidence que le système de traitement tel qu’il existe aujourd’hui est sous-dimensionné d’un point de vue de la charge hydraulique (capacité nominale 920m</w:t>
      </w:r>
      <w:r>
        <w:rPr>
          <w:vertAlign w:val="superscript"/>
        </w:rPr>
        <w:t>3</w:t>
      </w:r>
      <w:r>
        <w:t>/jour) et également sous dimensionné d’un point de vue de la charge polluante.</w:t>
      </w:r>
    </w:p>
    <w:p>
      <w:pPr>
        <w:spacing w:after="120"/>
      </w:pPr>
      <w:r>
        <w:t>A titre de comparaison, les principaux paramètres de dimensionnement de la STEU, les charges actuelles, horizons 2030 et  horizons 2040 sont synthétisés ci-après (charges futures sans réduction des eaux parasites) :</w:t>
      </w:r>
    </w:p>
    <w:tbl>
      <w:tblPr>
        <w:tblW w:w="8966" w:type="dxa"/>
        <w:jc w:val="center"/>
        <w:tblCellMar>
          <w:left w:w="70" w:type="dxa"/>
          <w:right w:w="70" w:type="dxa"/>
        </w:tblCellMar>
        <w:tblLook w:val="04A0" w:firstRow="1" w:lastRow="0" w:firstColumn="1" w:lastColumn="0" w:noHBand="0" w:noVBand="1"/>
      </w:tblPr>
      <w:tblGrid>
        <w:gridCol w:w="1826"/>
        <w:gridCol w:w="908"/>
        <w:gridCol w:w="1762"/>
        <w:gridCol w:w="1587"/>
        <w:gridCol w:w="1379"/>
        <w:gridCol w:w="1504"/>
      </w:tblGrid>
      <w:tr>
        <w:trPr>
          <w:trHeight w:val="300"/>
          <w:jc w:val="center"/>
        </w:trPr>
        <w:tc>
          <w:tcPr>
            <w:tcW w:w="1826" w:type="dxa"/>
            <w:tcBorders>
              <w:top w:val="single" w:sz="4" w:space="0" w:color="auto"/>
              <w:left w:val="single" w:sz="4" w:space="0" w:color="auto"/>
              <w:bottom w:val="single" w:sz="4" w:space="0" w:color="auto"/>
              <w:right w:val="single" w:sz="4" w:space="0" w:color="auto"/>
            </w:tcBorders>
            <w:shd w:val="clear" w:color="000000" w:fill="8DB3E2" w:themeFill="text2" w:themeFillTint="66"/>
            <w:vAlign w:val="center"/>
            <w:hideMark/>
          </w:tcPr>
          <w:p>
            <w:pPr>
              <w:jc w:val="center"/>
              <w:rPr>
                <w:rFonts w:cs="Calibri"/>
                <w:b/>
                <w:bCs/>
                <w:color w:val="FFFFFF"/>
              </w:rPr>
            </w:pPr>
            <w:r>
              <w:rPr>
                <w:rFonts w:cs="Calibri"/>
                <w:b/>
                <w:bCs/>
                <w:color w:val="FFFFFF" w:themeColor="background1"/>
              </w:rPr>
              <w:t>Paramètres de dimensionnement</w:t>
            </w:r>
          </w:p>
        </w:tc>
        <w:tc>
          <w:tcPr>
            <w:tcW w:w="908" w:type="dxa"/>
            <w:tcBorders>
              <w:top w:val="single" w:sz="4" w:space="0" w:color="auto"/>
              <w:left w:val="nil"/>
              <w:bottom w:val="single" w:sz="4" w:space="0" w:color="auto"/>
              <w:right w:val="single" w:sz="4" w:space="0" w:color="auto"/>
            </w:tcBorders>
            <w:shd w:val="clear" w:color="000000" w:fill="8DB3E2" w:themeFill="text2" w:themeFillTint="66"/>
            <w:vAlign w:val="center"/>
          </w:tcPr>
          <w:p>
            <w:pPr>
              <w:jc w:val="center"/>
              <w:rPr>
                <w:rFonts w:cs="Calibri"/>
                <w:b/>
                <w:bCs/>
                <w:color w:val="FFFFFF"/>
              </w:rPr>
            </w:pPr>
            <w:r>
              <w:rPr>
                <w:rFonts w:cs="Calibri"/>
                <w:b/>
                <w:bCs/>
                <w:color w:val="FFFFFF" w:themeColor="background1"/>
              </w:rPr>
              <w:t>Unité</w:t>
            </w:r>
          </w:p>
        </w:tc>
        <w:tc>
          <w:tcPr>
            <w:tcW w:w="1762" w:type="dxa"/>
            <w:tcBorders>
              <w:top w:val="single" w:sz="4" w:space="0" w:color="auto"/>
              <w:left w:val="single" w:sz="4" w:space="0" w:color="auto"/>
              <w:bottom w:val="single" w:sz="4" w:space="0" w:color="auto"/>
              <w:right w:val="single" w:sz="4" w:space="0" w:color="auto"/>
            </w:tcBorders>
            <w:shd w:val="clear" w:color="000000" w:fill="8DB3E2" w:themeFill="text2" w:themeFillTint="66"/>
            <w:vAlign w:val="center"/>
          </w:tcPr>
          <w:p>
            <w:pPr>
              <w:jc w:val="center"/>
              <w:rPr>
                <w:rFonts w:cs="Calibri"/>
                <w:b/>
                <w:bCs/>
                <w:color w:val="FFFFFF"/>
              </w:rPr>
            </w:pPr>
            <w:r>
              <w:rPr>
                <w:rFonts w:cs="Calibri"/>
                <w:b/>
                <w:bCs/>
                <w:color w:val="FFFFFF" w:themeColor="background1"/>
              </w:rPr>
              <w:t>Dimensionnement STEU</w:t>
            </w:r>
          </w:p>
        </w:tc>
        <w:tc>
          <w:tcPr>
            <w:tcW w:w="1587" w:type="dxa"/>
            <w:tcBorders>
              <w:top w:val="single" w:sz="4" w:space="0" w:color="auto"/>
              <w:left w:val="single" w:sz="4" w:space="0" w:color="auto"/>
              <w:bottom w:val="single" w:sz="4" w:space="0" w:color="auto"/>
              <w:right w:val="single" w:sz="4" w:space="0" w:color="auto"/>
            </w:tcBorders>
            <w:shd w:val="clear" w:color="000000" w:fill="8DB3E2" w:themeFill="text2" w:themeFillTint="66"/>
            <w:vAlign w:val="center"/>
            <w:hideMark/>
          </w:tcPr>
          <w:p>
            <w:pPr>
              <w:jc w:val="center"/>
              <w:rPr>
                <w:rFonts w:cs="Calibri"/>
                <w:b/>
                <w:bCs/>
                <w:color w:val="FFFFFF"/>
              </w:rPr>
            </w:pPr>
            <w:r>
              <w:rPr>
                <w:rFonts w:cs="Calibri"/>
                <w:b/>
                <w:bCs/>
                <w:color w:val="FFFFFF" w:themeColor="background1"/>
              </w:rPr>
              <w:t>Situation actuelle</w:t>
            </w:r>
          </w:p>
        </w:tc>
        <w:tc>
          <w:tcPr>
            <w:tcW w:w="1379" w:type="dxa"/>
            <w:tcBorders>
              <w:top w:val="single" w:sz="4" w:space="0" w:color="auto"/>
              <w:left w:val="nil"/>
              <w:bottom w:val="single" w:sz="4" w:space="0" w:color="auto"/>
              <w:right w:val="nil"/>
            </w:tcBorders>
            <w:shd w:val="clear" w:color="000000" w:fill="8DB3E2" w:themeFill="text2" w:themeFillTint="66"/>
            <w:vAlign w:val="center"/>
          </w:tcPr>
          <w:p>
            <w:pPr>
              <w:jc w:val="center"/>
              <w:rPr>
                <w:rFonts w:cs="Calibri"/>
                <w:b/>
                <w:bCs/>
                <w:color w:val="FFFFFF"/>
              </w:rPr>
            </w:pPr>
            <w:r>
              <w:rPr>
                <w:rFonts w:cs="Calibri"/>
                <w:b/>
                <w:bCs/>
                <w:color w:val="FFFFFF" w:themeColor="background1"/>
              </w:rPr>
              <w:t>Horizon 2030</w:t>
            </w:r>
          </w:p>
        </w:tc>
        <w:tc>
          <w:tcPr>
            <w:tcW w:w="1504" w:type="dxa"/>
            <w:tcBorders>
              <w:top w:val="single" w:sz="4" w:space="0" w:color="auto"/>
              <w:left w:val="single" w:sz="4" w:space="0" w:color="auto"/>
              <w:bottom w:val="single" w:sz="4" w:space="0" w:color="auto"/>
              <w:right w:val="single" w:sz="4" w:space="0" w:color="auto"/>
            </w:tcBorders>
            <w:shd w:val="clear" w:color="000000" w:fill="8DB3E2" w:themeFill="text2" w:themeFillTint="66"/>
            <w:vAlign w:val="center"/>
            <w:hideMark/>
          </w:tcPr>
          <w:p>
            <w:pPr>
              <w:jc w:val="center"/>
              <w:rPr>
                <w:rFonts w:cs="Calibri"/>
                <w:b/>
                <w:bCs/>
                <w:color w:val="FFFFFF"/>
              </w:rPr>
            </w:pPr>
            <w:r>
              <w:rPr>
                <w:rFonts w:cs="Calibri"/>
                <w:b/>
                <w:bCs/>
                <w:color w:val="FFFFFF" w:themeColor="background1"/>
              </w:rPr>
              <w:t>Horizon 2040</w:t>
            </w:r>
          </w:p>
        </w:tc>
      </w:tr>
      <w:tr>
        <w:trPr>
          <w:trHeight w:val="300"/>
          <w:jc w:val="center"/>
        </w:trPr>
        <w:tc>
          <w:tcPr>
            <w:tcW w:w="182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pPr>
              <w:rPr>
                <w:rFonts w:cs="Calibri"/>
                <w:color w:val="000000"/>
              </w:rPr>
            </w:pPr>
            <w:r>
              <w:rPr>
                <w:rFonts w:cs="Calibri"/>
                <w:color w:val="000000"/>
              </w:rPr>
              <w:t>Capacité de la STEP</w:t>
            </w:r>
          </w:p>
        </w:tc>
        <w:tc>
          <w:tcPr>
            <w:tcW w:w="908" w:type="dxa"/>
            <w:tcBorders>
              <w:top w:val="single" w:sz="4" w:space="0" w:color="auto"/>
              <w:left w:val="nil"/>
              <w:bottom w:val="single" w:sz="4" w:space="0" w:color="auto"/>
              <w:right w:val="single" w:sz="4" w:space="0" w:color="auto"/>
            </w:tcBorders>
            <w:vAlign w:val="center"/>
          </w:tcPr>
          <w:p>
            <w:pPr>
              <w:jc w:val="center"/>
              <w:rPr>
                <w:rFonts w:cs="Calibri"/>
                <w:color w:val="000000"/>
              </w:rPr>
            </w:pPr>
            <w:r>
              <w:rPr>
                <w:rFonts w:cs="Calibri"/>
                <w:color w:val="000000"/>
              </w:rPr>
              <w:t>EH</w:t>
            </w:r>
          </w:p>
        </w:tc>
        <w:tc>
          <w:tcPr>
            <w:tcW w:w="1762" w:type="dxa"/>
            <w:tcBorders>
              <w:top w:val="single" w:sz="4" w:space="0" w:color="auto"/>
              <w:left w:val="single" w:sz="4" w:space="0" w:color="auto"/>
              <w:bottom w:val="single" w:sz="4" w:space="0" w:color="auto"/>
              <w:right w:val="single" w:sz="4" w:space="0" w:color="auto"/>
            </w:tcBorders>
            <w:vAlign w:val="center"/>
          </w:tcPr>
          <w:p>
            <w:pPr>
              <w:jc w:val="center"/>
              <w:rPr>
                <w:rFonts w:cs="Calibri"/>
                <w:color w:val="000000"/>
              </w:rPr>
            </w:pPr>
            <w:r>
              <w:rPr>
                <w:rFonts w:cs="Calibri"/>
                <w:color w:val="000000"/>
              </w:rPr>
              <w:t>4 600</w:t>
            </w:r>
          </w:p>
        </w:tc>
        <w:tc>
          <w:tcPr>
            <w:tcW w:w="158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pPr>
              <w:jc w:val="center"/>
              <w:rPr>
                <w:rFonts w:cs="Calibri"/>
                <w:color w:val="000000"/>
              </w:rPr>
            </w:pPr>
            <w:r>
              <w:rPr>
                <w:rFonts w:cs="Calibri"/>
                <w:color w:val="000000"/>
              </w:rPr>
              <w:t>6 667</w:t>
            </w:r>
          </w:p>
        </w:tc>
        <w:tc>
          <w:tcPr>
            <w:tcW w:w="1379" w:type="dxa"/>
            <w:tcBorders>
              <w:top w:val="single" w:sz="4" w:space="0" w:color="auto"/>
              <w:left w:val="nil"/>
              <w:bottom w:val="single" w:sz="4" w:space="0" w:color="auto"/>
              <w:right w:val="nil"/>
            </w:tcBorders>
            <w:vAlign w:val="center"/>
          </w:tcPr>
          <w:p>
            <w:pPr>
              <w:jc w:val="center"/>
              <w:rPr>
                <w:rFonts w:cs="Calibri"/>
                <w:color w:val="000000"/>
              </w:rPr>
            </w:pPr>
            <w:r>
              <w:rPr>
                <w:rFonts w:cs="Calibri"/>
                <w:color w:val="000000"/>
              </w:rPr>
              <w:t>7 190</w:t>
            </w:r>
          </w:p>
        </w:tc>
        <w:tc>
          <w:tcPr>
            <w:tcW w:w="15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pPr>
              <w:jc w:val="center"/>
              <w:rPr>
                <w:rFonts w:cs="Calibri"/>
                <w:color w:val="000000"/>
              </w:rPr>
            </w:pPr>
            <w:r>
              <w:rPr>
                <w:rFonts w:cs="Calibri"/>
                <w:color w:val="000000"/>
              </w:rPr>
              <w:t>7 808</w:t>
            </w:r>
          </w:p>
        </w:tc>
      </w:tr>
      <w:tr>
        <w:trPr>
          <w:trHeight w:val="300"/>
          <w:jc w:val="center"/>
        </w:trPr>
        <w:tc>
          <w:tcPr>
            <w:tcW w:w="1826" w:type="dxa"/>
            <w:tcBorders>
              <w:top w:val="nil"/>
              <w:left w:val="single" w:sz="4" w:space="0" w:color="auto"/>
              <w:bottom w:val="single" w:sz="4" w:space="0" w:color="auto"/>
              <w:right w:val="single" w:sz="4" w:space="0" w:color="auto"/>
            </w:tcBorders>
            <w:shd w:val="clear" w:color="auto" w:fill="auto"/>
            <w:noWrap/>
            <w:vAlign w:val="center"/>
            <w:hideMark/>
          </w:tcPr>
          <w:p>
            <w:pPr>
              <w:rPr>
                <w:rFonts w:cs="Calibri"/>
                <w:color w:val="000000"/>
              </w:rPr>
            </w:pPr>
            <w:r>
              <w:rPr>
                <w:rFonts w:cs="Calibri"/>
                <w:color w:val="000000"/>
              </w:rPr>
              <w:t xml:space="preserve">Débit journalier </w:t>
            </w:r>
          </w:p>
        </w:tc>
        <w:tc>
          <w:tcPr>
            <w:tcW w:w="908" w:type="dxa"/>
            <w:tcBorders>
              <w:top w:val="single" w:sz="4" w:space="0" w:color="auto"/>
              <w:left w:val="nil"/>
              <w:bottom w:val="single" w:sz="4" w:space="0" w:color="auto"/>
              <w:right w:val="single" w:sz="4" w:space="0" w:color="auto"/>
            </w:tcBorders>
            <w:vAlign w:val="center"/>
          </w:tcPr>
          <w:p>
            <w:pPr>
              <w:jc w:val="center"/>
              <w:rPr>
                <w:rFonts w:cs="Calibri"/>
                <w:color w:val="000000"/>
              </w:rPr>
            </w:pPr>
            <w:r>
              <w:rPr>
                <w:rFonts w:cs="Calibri"/>
                <w:color w:val="000000"/>
              </w:rPr>
              <w:t>m</w:t>
            </w:r>
            <w:r>
              <w:rPr>
                <w:rFonts w:cs="Calibri"/>
                <w:color w:val="000000"/>
                <w:vertAlign w:val="superscript"/>
              </w:rPr>
              <w:t>3</w:t>
            </w:r>
            <w:r>
              <w:rPr>
                <w:rFonts w:cs="Calibri"/>
                <w:color w:val="000000"/>
              </w:rPr>
              <w:t>/j</w:t>
            </w:r>
          </w:p>
        </w:tc>
        <w:tc>
          <w:tcPr>
            <w:tcW w:w="1762" w:type="dxa"/>
            <w:tcBorders>
              <w:top w:val="nil"/>
              <w:left w:val="single" w:sz="4" w:space="0" w:color="auto"/>
              <w:bottom w:val="single" w:sz="4" w:space="0" w:color="auto"/>
              <w:right w:val="single" w:sz="4" w:space="0" w:color="auto"/>
            </w:tcBorders>
            <w:vAlign w:val="center"/>
          </w:tcPr>
          <w:p>
            <w:pPr>
              <w:jc w:val="center"/>
              <w:rPr>
                <w:rFonts w:cs="Calibri"/>
                <w:color w:val="000000"/>
              </w:rPr>
            </w:pPr>
            <w:r>
              <w:rPr>
                <w:rFonts w:cs="Calibri"/>
                <w:color w:val="000000"/>
              </w:rPr>
              <w:t>920</w:t>
            </w:r>
          </w:p>
        </w:tc>
        <w:tc>
          <w:tcPr>
            <w:tcW w:w="1587" w:type="dxa"/>
            <w:tcBorders>
              <w:top w:val="nil"/>
              <w:left w:val="single" w:sz="4" w:space="0" w:color="auto"/>
              <w:bottom w:val="single" w:sz="4" w:space="0" w:color="auto"/>
              <w:right w:val="single" w:sz="4" w:space="0" w:color="auto"/>
            </w:tcBorders>
            <w:shd w:val="clear" w:color="auto" w:fill="auto"/>
            <w:noWrap/>
            <w:vAlign w:val="center"/>
            <w:hideMark/>
          </w:tcPr>
          <w:p>
            <w:pPr>
              <w:jc w:val="center"/>
              <w:rPr>
                <w:rFonts w:cs="Calibri"/>
                <w:color w:val="000000"/>
              </w:rPr>
            </w:pPr>
            <w:r>
              <w:rPr>
                <w:rFonts w:cs="Calibri"/>
                <w:color w:val="000000"/>
              </w:rPr>
              <w:t>1335</w:t>
            </w:r>
          </w:p>
        </w:tc>
        <w:tc>
          <w:tcPr>
            <w:tcW w:w="1379" w:type="dxa"/>
            <w:tcBorders>
              <w:top w:val="single" w:sz="4" w:space="0" w:color="auto"/>
              <w:left w:val="nil"/>
              <w:bottom w:val="single" w:sz="4" w:space="0" w:color="auto"/>
              <w:right w:val="nil"/>
            </w:tcBorders>
            <w:vAlign w:val="center"/>
          </w:tcPr>
          <w:p>
            <w:pPr>
              <w:jc w:val="center"/>
              <w:rPr>
                <w:rFonts w:cs="Calibri"/>
                <w:color w:val="000000"/>
              </w:rPr>
            </w:pPr>
            <w:r>
              <w:rPr>
                <w:rFonts w:cs="Calibri"/>
                <w:color w:val="000000"/>
              </w:rPr>
              <w:t>1394</w:t>
            </w:r>
          </w:p>
        </w:tc>
        <w:tc>
          <w:tcPr>
            <w:tcW w:w="1504" w:type="dxa"/>
            <w:tcBorders>
              <w:top w:val="nil"/>
              <w:left w:val="single" w:sz="4" w:space="0" w:color="auto"/>
              <w:bottom w:val="single" w:sz="4" w:space="0" w:color="auto"/>
              <w:right w:val="single" w:sz="4" w:space="0" w:color="auto"/>
            </w:tcBorders>
            <w:shd w:val="clear" w:color="auto" w:fill="auto"/>
            <w:noWrap/>
            <w:vAlign w:val="center"/>
            <w:hideMark/>
          </w:tcPr>
          <w:p>
            <w:pPr>
              <w:jc w:val="center"/>
              <w:rPr>
                <w:rFonts w:cs="Calibri"/>
                <w:color w:val="000000"/>
              </w:rPr>
            </w:pPr>
            <w:r>
              <w:rPr>
                <w:rFonts w:cs="Calibri"/>
                <w:color w:val="000000"/>
              </w:rPr>
              <w:t>1464</w:t>
            </w:r>
          </w:p>
        </w:tc>
      </w:tr>
      <w:tr>
        <w:trPr>
          <w:trHeight w:val="300"/>
          <w:jc w:val="center"/>
        </w:trPr>
        <w:tc>
          <w:tcPr>
            <w:tcW w:w="1826" w:type="dxa"/>
            <w:tcBorders>
              <w:top w:val="nil"/>
              <w:left w:val="single" w:sz="4" w:space="0" w:color="auto"/>
              <w:bottom w:val="single" w:sz="4" w:space="0" w:color="auto"/>
              <w:right w:val="single" w:sz="4" w:space="0" w:color="auto"/>
            </w:tcBorders>
            <w:shd w:val="clear" w:color="auto" w:fill="auto"/>
            <w:noWrap/>
            <w:vAlign w:val="center"/>
            <w:hideMark/>
          </w:tcPr>
          <w:p>
            <w:pPr>
              <w:rPr>
                <w:rFonts w:cs="Calibri"/>
                <w:color w:val="000000"/>
              </w:rPr>
            </w:pPr>
            <w:r>
              <w:rPr>
                <w:rFonts w:cs="Calibri"/>
                <w:color w:val="000000"/>
              </w:rPr>
              <w:t>Débit horaire moyen</w:t>
            </w:r>
          </w:p>
        </w:tc>
        <w:tc>
          <w:tcPr>
            <w:tcW w:w="908" w:type="dxa"/>
            <w:tcBorders>
              <w:top w:val="single" w:sz="4" w:space="0" w:color="auto"/>
              <w:left w:val="nil"/>
              <w:bottom w:val="single" w:sz="4" w:space="0" w:color="auto"/>
              <w:right w:val="single" w:sz="4" w:space="0" w:color="auto"/>
            </w:tcBorders>
            <w:vAlign w:val="center"/>
          </w:tcPr>
          <w:p>
            <w:pPr>
              <w:jc w:val="center"/>
              <w:rPr>
                <w:rFonts w:cs="Calibri"/>
                <w:color w:val="000000"/>
              </w:rPr>
            </w:pPr>
            <w:r>
              <w:rPr>
                <w:rFonts w:cs="Calibri"/>
                <w:color w:val="000000"/>
              </w:rPr>
              <w:t>m</w:t>
            </w:r>
            <w:r>
              <w:rPr>
                <w:rFonts w:cs="Calibri"/>
                <w:color w:val="000000"/>
                <w:vertAlign w:val="superscript"/>
              </w:rPr>
              <w:t>3</w:t>
            </w:r>
            <w:r>
              <w:rPr>
                <w:rFonts w:cs="Calibri"/>
                <w:color w:val="000000"/>
              </w:rPr>
              <w:t>/h</w:t>
            </w:r>
          </w:p>
        </w:tc>
        <w:tc>
          <w:tcPr>
            <w:tcW w:w="1762" w:type="dxa"/>
            <w:tcBorders>
              <w:top w:val="nil"/>
              <w:left w:val="single" w:sz="4" w:space="0" w:color="auto"/>
              <w:bottom w:val="single" w:sz="4" w:space="0" w:color="auto"/>
              <w:right w:val="single" w:sz="4" w:space="0" w:color="auto"/>
            </w:tcBorders>
            <w:vAlign w:val="center"/>
          </w:tcPr>
          <w:p>
            <w:pPr>
              <w:jc w:val="center"/>
              <w:rPr>
                <w:rFonts w:cs="Calibri"/>
                <w:color w:val="000000"/>
              </w:rPr>
            </w:pPr>
            <w:r>
              <w:rPr>
                <w:rFonts w:cs="Calibri"/>
                <w:color w:val="000000"/>
              </w:rPr>
              <w:t>38</w:t>
            </w:r>
          </w:p>
        </w:tc>
        <w:tc>
          <w:tcPr>
            <w:tcW w:w="1587" w:type="dxa"/>
            <w:tcBorders>
              <w:top w:val="nil"/>
              <w:left w:val="single" w:sz="4" w:space="0" w:color="auto"/>
              <w:bottom w:val="single" w:sz="4" w:space="0" w:color="auto"/>
              <w:right w:val="single" w:sz="4" w:space="0" w:color="auto"/>
            </w:tcBorders>
            <w:shd w:val="clear" w:color="auto" w:fill="auto"/>
            <w:noWrap/>
            <w:vAlign w:val="center"/>
            <w:hideMark/>
          </w:tcPr>
          <w:p>
            <w:pPr>
              <w:jc w:val="center"/>
              <w:rPr>
                <w:rFonts w:cs="Calibri"/>
                <w:color w:val="000000"/>
              </w:rPr>
            </w:pPr>
            <w:r>
              <w:rPr>
                <w:rFonts w:cs="Calibri"/>
                <w:color w:val="000000"/>
              </w:rPr>
              <w:t>55,6</w:t>
            </w:r>
          </w:p>
        </w:tc>
        <w:tc>
          <w:tcPr>
            <w:tcW w:w="1379" w:type="dxa"/>
            <w:tcBorders>
              <w:top w:val="single" w:sz="4" w:space="0" w:color="auto"/>
              <w:left w:val="nil"/>
              <w:bottom w:val="single" w:sz="4" w:space="0" w:color="auto"/>
              <w:right w:val="nil"/>
            </w:tcBorders>
            <w:vAlign w:val="center"/>
          </w:tcPr>
          <w:p>
            <w:pPr>
              <w:jc w:val="center"/>
              <w:rPr>
                <w:rFonts w:cs="Calibri"/>
                <w:color w:val="000000"/>
              </w:rPr>
            </w:pPr>
            <w:r>
              <w:rPr>
                <w:rFonts w:cs="Calibri"/>
                <w:color w:val="000000"/>
              </w:rPr>
              <w:t>58,1</w:t>
            </w:r>
          </w:p>
        </w:tc>
        <w:tc>
          <w:tcPr>
            <w:tcW w:w="1504" w:type="dxa"/>
            <w:tcBorders>
              <w:top w:val="nil"/>
              <w:left w:val="single" w:sz="4" w:space="0" w:color="auto"/>
              <w:bottom w:val="single" w:sz="4" w:space="0" w:color="auto"/>
              <w:right w:val="single" w:sz="4" w:space="0" w:color="auto"/>
            </w:tcBorders>
            <w:shd w:val="clear" w:color="auto" w:fill="auto"/>
            <w:noWrap/>
            <w:vAlign w:val="center"/>
            <w:hideMark/>
          </w:tcPr>
          <w:p>
            <w:pPr>
              <w:jc w:val="center"/>
              <w:rPr>
                <w:rFonts w:cs="Calibri"/>
                <w:color w:val="000000"/>
              </w:rPr>
            </w:pPr>
            <w:r>
              <w:rPr>
                <w:rFonts w:cs="Calibri"/>
                <w:color w:val="000000"/>
              </w:rPr>
              <w:t>61</w:t>
            </w:r>
          </w:p>
        </w:tc>
      </w:tr>
      <w:tr>
        <w:trPr>
          <w:trHeight w:val="300"/>
          <w:jc w:val="center"/>
        </w:trPr>
        <w:tc>
          <w:tcPr>
            <w:tcW w:w="1826" w:type="dxa"/>
            <w:tcBorders>
              <w:top w:val="nil"/>
              <w:left w:val="single" w:sz="4" w:space="0" w:color="auto"/>
              <w:bottom w:val="single" w:sz="4" w:space="0" w:color="auto"/>
              <w:right w:val="single" w:sz="4" w:space="0" w:color="auto"/>
            </w:tcBorders>
            <w:shd w:val="clear" w:color="auto" w:fill="auto"/>
            <w:vAlign w:val="center"/>
            <w:hideMark/>
          </w:tcPr>
          <w:p>
            <w:pPr>
              <w:rPr>
                <w:rFonts w:cs="Calibri"/>
                <w:color w:val="000000"/>
              </w:rPr>
            </w:pPr>
            <w:r>
              <w:rPr>
                <w:rFonts w:cs="Calibri"/>
                <w:color w:val="000000"/>
              </w:rPr>
              <w:t>Débit de pointe horaire</w:t>
            </w:r>
          </w:p>
        </w:tc>
        <w:tc>
          <w:tcPr>
            <w:tcW w:w="908" w:type="dxa"/>
            <w:tcBorders>
              <w:top w:val="single" w:sz="4" w:space="0" w:color="auto"/>
              <w:left w:val="nil"/>
              <w:bottom w:val="single" w:sz="4" w:space="0" w:color="auto"/>
              <w:right w:val="single" w:sz="4" w:space="0" w:color="auto"/>
            </w:tcBorders>
            <w:vAlign w:val="center"/>
          </w:tcPr>
          <w:p>
            <w:pPr>
              <w:jc w:val="center"/>
              <w:rPr>
                <w:rFonts w:cs="Calibri"/>
                <w:color w:val="000000"/>
              </w:rPr>
            </w:pPr>
            <w:r>
              <w:rPr>
                <w:rFonts w:cs="Calibri"/>
                <w:color w:val="000000"/>
              </w:rPr>
              <w:t>m</w:t>
            </w:r>
            <w:r>
              <w:rPr>
                <w:rFonts w:cs="Calibri"/>
                <w:color w:val="000000"/>
                <w:vertAlign w:val="superscript"/>
              </w:rPr>
              <w:t>3</w:t>
            </w:r>
            <w:r>
              <w:rPr>
                <w:rFonts w:cs="Calibri"/>
                <w:color w:val="000000"/>
              </w:rPr>
              <w:t>/h</w:t>
            </w:r>
          </w:p>
        </w:tc>
        <w:tc>
          <w:tcPr>
            <w:tcW w:w="1762" w:type="dxa"/>
            <w:tcBorders>
              <w:top w:val="nil"/>
              <w:left w:val="single" w:sz="4" w:space="0" w:color="auto"/>
              <w:bottom w:val="single" w:sz="4" w:space="0" w:color="auto"/>
              <w:right w:val="single" w:sz="4" w:space="0" w:color="auto"/>
            </w:tcBorders>
            <w:vAlign w:val="center"/>
          </w:tcPr>
          <w:p>
            <w:pPr>
              <w:jc w:val="center"/>
              <w:rPr>
                <w:rFonts w:cs="Calibri"/>
                <w:color w:val="000000"/>
              </w:rPr>
            </w:pPr>
            <w:r>
              <w:rPr>
                <w:rFonts w:cs="Calibri"/>
                <w:color w:val="000000"/>
              </w:rPr>
              <w:t>230</w:t>
            </w:r>
          </w:p>
        </w:tc>
        <w:tc>
          <w:tcPr>
            <w:tcW w:w="1587" w:type="dxa"/>
            <w:tcBorders>
              <w:top w:val="nil"/>
              <w:left w:val="single" w:sz="4" w:space="0" w:color="auto"/>
              <w:bottom w:val="single" w:sz="4" w:space="0" w:color="auto"/>
              <w:right w:val="single" w:sz="4" w:space="0" w:color="auto"/>
            </w:tcBorders>
            <w:shd w:val="clear" w:color="auto" w:fill="auto"/>
            <w:noWrap/>
            <w:vAlign w:val="center"/>
            <w:hideMark/>
          </w:tcPr>
          <w:p>
            <w:pPr>
              <w:jc w:val="center"/>
              <w:rPr>
                <w:rFonts w:cs="Calibri"/>
                <w:color w:val="000000"/>
              </w:rPr>
            </w:pPr>
            <w:r>
              <w:rPr>
                <w:rFonts w:cs="Calibri"/>
                <w:color w:val="000000"/>
              </w:rPr>
              <w:t>102,1</w:t>
            </w:r>
          </w:p>
        </w:tc>
        <w:tc>
          <w:tcPr>
            <w:tcW w:w="1379" w:type="dxa"/>
            <w:tcBorders>
              <w:top w:val="single" w:sz="4" w:space="0" w:color="auto"/>
              <w:left w:val="nil"/>
              <w:bottom w:val="single" w:sz="4" w:space="0" w:color="auto"/>
              <w:right w:val="nil"/>
            </w:tcBorders>
            <w:vAlign w:val="center"/>
          </w:tcPr>
          <w:p>
            <w:pPr>
              <w:jc w:val="center"/>
              <w:rPr>
                <w:rFonts w:cs="Calibri"/>
                <w:color w:val="000000"/>
              </w:rPr>
            </w:pPr>
            <w:r>
              <w:rPr>
                <w:rFonts w:cs="Calibri"/>
                <w:color w:val="000000"/>
              </w:rPr>
              <w:t>106,2</w:t>
            </w:r>
          </w:p>
        </w:tc>
        <w:tc>
          <w:tcPr>
            <w:tcW w:w="1504" w:type="dxa"/>
            <w:tcBorders>
              <w:top w:val="nil"/>
              <w:left w:val="single" w:sz="4" w:space="0" w:color="auto"/>
              <w:bottom w:val="single" w:sz="4" w:space="0" w:color="auto"/>
              <w:right w:val="single" w:sz="4" w:space="0" w:color="auto"/>
            </w:tcBorders>
            <w:shd w:val="clear" w:color="auto" w:fill="auto"/>
            <w:noWrap/>
            <w:vAlign w:val="center"/>
            <w:hideMark/>
          </w:tcPr>
          <w:p>
            <w:pPr>
              <w:jc w:val="center"/>
              <w:rPr>
                <w:rFonts w:cs="Calibri"/>
                <w:color w:val="000000"/>
              </w:rPr>
            </w:pPr>
            <w:r>
              <w:rPr>
                <w:rFonts w:cs="Calibri"/>
                <w:color w:val="000000"/>
              </w:rPr>
              <w:t>111,0</w:t>
            </w:r>
          </w:p>
        </w:tc>
      </w:tr>
      <w:tr>
        <w:trPr>
          <w:trHeight w:val="300"/>
          <w:jc w:val="center"/>
        </w:trPr>
        <w:tc>
          <w:tcPr>
            <w:tcW w:w="1826" w:type="dxa"/>
            <w:tcBorders>
              <w:top w:val="single" w:sz="4" w:space="0" w:color="auto"/>
              <w:left w:val="single" w:sz="4" w:space="0" w:color="auto"/>
              <w:bottom w:val="single" w:sz="4" w:space="0" w:color="auto"/>
              <w:right w:val="single" w:sz="4" w:space="0" w:color="auto"/>
            </w:tcBorders>
            <w:shd w:val="clear" w:color="auto" w:fill="auto"/>
            <w:vAlign w:val="center"/>
          </w:tcPr>
          <w:p>
            <w:pPr>
              <w:rPr>
                <w:rFonts w:cs="Calibri"/>
                <w:color w:val="000000"/>
              </w:rPr>
            </w:pPr>
            <w:r>
              <w:rPr>
                <w:rFonts w:cs="Calibri"/>
                <w:color w:val="000000"/>
              </w:rPr>
              <w:t>DBO</w:t>
            </w:r>
            <w:r>
              <w:rPr>
                <w:rFonts w:cs="Calibri"/>
                <w:color w:val="000000"/>
                <w:vertAlign w:val="subscript"/>
              </w:rPr>
              <w:t xml:space="preserve">5 </w:t>
            </w:r>
          </w:p>
        </w:tc>
        <w:tc>
          <w:tcPr>
            <w:tcW w:w="908" w:type="dxa"/>
            <w:tcBorders>
              <w:top w:val="single" w:sz="4" w:space="0" w:color="auto"/>
              <w:left w:val="nil"/>
              <w:bottom w:val="single" w:sz="4" w:space="0" w:color="auto"/>
              <w:right w:val="single" w:sz="4" w:space="0" w:color="auto"/>
            </w:tcBorders>
            <w:vAlign w:val="center"/>
          </w:tcPr>
          <w:p>
            <w:pPr>
              <w:jc w:val="center"/>
              <w:rPr>
                <w:rFonts w:cs="Calibri"/>
                <w:color w:val="000000"/>
              </w:rPr>
            </w:pPr>
            <w:r>
              <w:rPr>
                <w:rFonts w:cs="Calibri"/>
                <w:color w:val="000000"/>
              </w:rPr>
              <w:t>kg/jour</w:t>
            </w:r>
          </w:p>
        </w:tc>
        <w:tc>
          <w:tcPr>
            <w:tcW w:w="1762" w:type="dxa"/>
            <w:tcBorders>
              <w:top w:val="single" w:sz="4" w:space="0" w:color="auto"/>
              <w:left w:val="single" w:sz="4" w:space="0" w:color="auto"/>
              <w:bottom w:val="single" w:sz="4" w:space="0" w:color="auto"/>
              <w:right w:val="single" w:sz="4" w:space="0" w:color="auto"/>
            </w:tcBorders>
            <w:vAlign w:val="center"/>
          </w:tcPr>
          <w:p>
            <w:pPr>
              <w:jc w:val="center"/>
              <w:rPr>
                <w:rFonts w:cs="Calibri"/>
                <w:color w:val="000000"/>
              </w:rPr>
            </w:pPr>
            <w:r>
              <w:rPr>
                <w:rFonts w:cs="Calibri"/>
                <w:color w:val="000000"/>
              </w:rPr>
              <w:t>276</w:t>
            </w:r>
          </w:p>
        </w:tc>
        <w:tc>
          <w:tcPr>
            <w:tcW w:w="1587" w:type="dxa"/>
            <w:tcBorders>
              <w:top w:val="single" w:sz="4" w:space="0" w:color="auto"/>
              <w:left w:val="single" w:sz="4" w:space="0" w:color="auto"/>
              <w:bottom w:val="single" w:sz="4" w:space="0" w:color="auto"/>
              <w:right w:val="single" w:sz="4" w:space="0" w:color="auto"/>
            </w:tcBorders>
            <w:shd w:val="clear" w:color="auto" w:fill="auto"/>
            <w:noWrap/>
            <w:vAlign w:val="center"/>
          </w:tcPr>
          <w:p>
            <w:pPr>
              <w:jc w:val="center"/>
              <w:rPr>
                <w:rFonts w:cs="Calibri"/>
                <w:color w:val="000000"/>
              </w:rPr>
            </w:pPr>
            <w:r>
              <w:rPr>
                <w:rFonts w:cs="Calibri"/>
                <w:color w:val="000000"/>
              </w:rPr>
              <w:t>400</w:t>
            </w:r>
          </w:p>
        </w:tc>
        <w:tc>
          <w:tcPr>
            <w:tcW w:w="1379" w:type="dxa"/>
            <w:tcBorders>
              <w:top w:val="single" w:sz="4" w:space="0" w:color="auto"/>
              <w:left w:val="nil"/>
              <w:bottom w:val="single" w:sz="4" w:space="0" w:color="auto"/>
              <w:right w:val="nil"/>
            </w:tcBorders>
            <w:vAlign w:val="center"/>
          </w:tcPr>
          <w:p>
            <w:pPr>
              <w:jc w:val="center"/>
              <w:rPr>
                <w:rFonts w:cs="Calibri"/>
                <w:color w:val="000000"/>
              </w:rPr>
            </w:pPr>
            <w:r>
              <w:rPr>
                <w:rFonts w:cs="Calibri"/>
                <w:color w:val="000000"/>
              </w:rPr>
              <w:t>431</w:t>
            </w:r>
          </w:p>
        </w:tc>
        <w:tc>
          <w:tcPr>
            <w:tcW w:w="1504" w:type="dxa"/>
            <w:tcBorders>
              <w:top w:val="single" w:sz="4" w:space="0" w:color="auto"/>
              <w:left w:val="single" w:sz="4" w:space="0" w:color="auto"/>
              <w:bottom w:val="single" w:sz="4" w:space="0" w:color="auto"/>
              <w:right w:val="single" w:sz="4" w:space="0" w:color="auto"/>
            </w:tcBorders>
            <w:shd w:val="clear" w:color="auto" w:fill="auto"/>
            <w:noWrap/>
            <w:vAlign w:val="center"/>
          </w:tcPr>
          <w:p>
            <w:pPr>
              <w:jc w:val="center"/>
              <w:rPr>
                <w:rFonts w:cs="Calibri"/>
                <w:color w:val="000000"/>
              </w:rPr>
            </w:pPr>
            <w:r>
              <w:rPr>
                <w:rFonts w:cs="Calibri"/>
                <w:color w:val="000000"/>
              </w:rPr>
              <w:t>469</w:t>
            </w:r>
          </w:p>
        </w:tc>
      </w:tr>
    </w:tbl>
    <w:p>
      <w:pPr>
        <w:pStyle w:val="Lgende"/>
        <w:rPr>
          <w:szCs w:val="20"/>
        </w:rPr>
      </w:pPr>
      <w:bookmarkStart w:id="39" w:name="_Toc46480591"/>
      <w:r>
        <w:rPr>
          <w:szCs w:val="20"/>
        </w:rPr>
        <w:t xml:space="preserve">    Synthèse des charges hydrauliques et polluantes horizon 2030 et 2040</w:t>
      </w:r>
      <w:bookmarkEnd w:id="39"/>
    </w:p>
    <w:p>
      <w:pPr>
        <w:rPr>
          <w:b/>
        </w:rPr>
      </w:pPr>
      <w:r>
        <w:rPr>
          <w:b/>
        </w:rPr>
        <w:t>La capacité théorique de la station actuelle est donc insuffisante sur la charge hydraulique et sur la charge polluante.</w:t>
      </w:r>
    </w:p>
    <w:p>
      <w:pPr>
        <w:rPr>
          <w:b/>
        </w:rPr>
      </w:pPr>
    </w:p>
    <w:p>
      <w:pPr>
        <w:spacing w:before="0"/>
        <w:jc w:val="left"/>
        <w:rPr>
          <w:b/>
          <w:iCs/>
          <w:color w:val="333333"/>
          <w:sz w:val="28"/>
        </w:rPr>
      </w:pPr>
      <w:bookmarkStart w:id="40" w:name="_Toc52811326"/>
      <w:r>
        <w:br w:type="page"/>
      </w:r>
    </w:p>
    <w:p>
      <w:pPr>
        <w:pStyle w:val="Titre3"/>
      </w:pPr>
      <w:bookmarkStart w:id="41" w:name="_Toc92700762"/>
      <w:r>
        <w:lastRenderedPageBreak/>
        <w:t>Réduction des eaux parasites</w:t>
      </w:r>
      <w:bookmarkEnd w:id="40"/>
      <w:bookmarkEnd w:id="41"/>
    </w:p>
    <w:p>
      <w:r>
        <w:t>Le programme de travaux réalisé suite au diagnostic du réseau d’assainissement permettra :</w:t>
      </w:r>
    </w:p>
    <w:p>
      <w:pPr>
        <w:pStyle w:val="Retrait20"/>
        <w:tabs>
          <w:tab w:val="clear" w:pos="928"/>
          <w:tab w:val="num" w:pos="1324"/>
        </w:tabs>
        <w:ind w:left="1304"/>
      </w:pPr>
      <w:r>
        <w:t xml:space="preserve">De diminuer les eaux parasites permanentes de 10%. (le schéma directeur de la commune de </w:t>
      </w:r>
      <w:proofErr w:type="spellStart"/>
      <w:r>
        <w:t>Cabrières</w:t>
      </w:r>
      <w:proofErr w:type="spellEnd"/>
      <w:r>
        <w:t xml:space="preserve"> et le programme de travaux associé permettront certainement d’augmenter ce pourcentage).</w:t>
      </w:r>
    </w:p>
    <w:p>
      <w:pPr>
        <w:pStyle w:val="Retrait20"/>
        <w:tabs>
          <w:tab w:val="clear" w:pos="928"/>
          <w:tab w:val="num" w:pos="1324"/>
        </w:tabs>
        <w:ind w:left="1304"/>
      </w:pPr>
      <w:r>
        <w:t>De diminuer la surface active de 55% passant de 26 000m² à 11 000m².</w:t>
      </w:r>
    </w:p>
    <w:p>
      <w:r>
        <w:t>En considérant les volumes de 2016 à 2020 et en prenant en compte la suppression des eaux parasites avec les hypothèses ci-dessus, les charges hydrauliques de références sont les suivantes :</w:t>
      </w:r>
    </w:p>
    <w:p>
      <w:pPr>
        <w:pStyle w:val="Retrait20"/>
        <w:numPr>
          <w:ilvl w:val="0"/>
          <w:numId w:val="11"/>
        </w:numPr>
        <w:tabs>
          <w:tab w:val="clear" w:pos="928"/>
        </w:tabs>
        <w:ind w:left="964" w:hanging="284"/>
      </w:pPr>
      <w:r>
        <w:t>Volume moyen journalier : 748m</w:t>
      </w:r>
      <w:r>
        <w:rPr>
          <w:vertAlign w:val="superscript"/>
        </w:rPr>
        <w:t>3</w:t>
      </w:r>
      <w:r>
        <w:t xml:space="preserve"> soit 81% de la capacité de la station d’épuration ;</w:t>
      </w:r>
    </w:p>
    <w:p>
      <w:pPr>
        <w:pStyle w:val="Retrait20"/>
        <w:numPr>
          <w:ilvl w:val="0"/>
          <w:numId w:val="11"/>
        </w:numPr>
        <w:tabs>
          <w:tab w:val="clear" w:pos="928"/>
        </w:tabs>
        <w:ind w:left="964" w:hanging="284"/>
      </w:pPr>
      <w:r>
        <w:t>Percentile 95% : 1092m</w:t>
      </w:r>
      <w:r>
        <w:rPr>
          <w:vertAlign w:val="superscript"/>
        </w:rPr>
        <w:t>3</w:t>
      </w:r>
      <w:r>
        <w:t>/j  (95% du temps le volume journalier est inférieur à 1092m</w:t>
      </w:r>
      <w:r>
        <w:rPr>
          <w:vertAlign w:val="superscript"/>
        </w:rPr>
        <w:t>3</w:t>
      </w:r>
      <w:r>
        <w:t xml:space="preserve">) ; </w:t>
      </w:r>
    </w:p>
    <w:p>
      <w:pPr>
        <w:pStyle w:val="Retrait20"/>
        <w:numPr>
          <w:ilvl w:val="0"/>
          <w:numId w:val="11"/>
        </w:numPr>
        <w:tabs>
          <w:tab w:val="clear" w:pos="928"/>
        </w:tabs>
        <w:ind w:left="964" w:hanging="284"/>
      </w:pPr>
      <w:r>
        <w:t>Nombre de jour total de dépassement de la capacité nominale : 261 sur 5 ans soit environ 52 par an ;</w:t>
      </w:r>
    </w:p>
    <w:p>
      <w:r>
        <w:rPr>
          <w:noProof/>
        </w:rPr>
        <w:drawing>
          <wp:inline distT="0" distB="0" distL="0" distR="0">
            <wp:extent cx="5972810" cy="2673985"/>
            <wp:effectExtent l="19050" t="19050" r="27940" b="12065"/>
            <wp:docPr id="1383" name="Image 1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972810" cy="2673985"/>
                    </a:xfrm>
                    <a:prstGeom prst="rect">
                      <a:avLst/>
                    </a:prstGeom>
                    <a:ln>
                      <a:solidFill>
                        <a:schemeClr val="tx1"/>
                      </a:solidFill>
                    </a:ln>
                  </pic:spPr>
                </pic:pic>
              </a:graphicData>
            </a:graphic>
          </wp:inline>
        </w:drawing>
      </w:r>
      <w:r>
        <w:rPr>
          <w:noProof/>
        </w:rPr>
        <w:t xml:space="preserve">   </w:t>
      </w:r>
    </w:p>
    <w:p>
      <w:pPr>
        <w:pStyle w:val="Lgende"/>
        <w:rPr>
          <w:szCs w:val="20"/>
        </w:rPr>
      </w:pPr>
      <w:bookmarkStart w:id="42" w:name="_Toc485127377"/>
      <w:bookmarkStart w:id="43" w:name="_Toc432156829"/>
      <w:bookmarkStart w:id="44" w:name="_Toc520390655"/>
      <w:bookmarkStart w:id="45" w:name="_Toc53492784"/>
      <w:r>
        <w:rPr>
          <w:szCs w:val="20"/>
        </w:rPr>
        <w:t xml:space="preserve">Reconstitution des charges hydrauliques reçues en entrée station </w:t>
      </w:r>
      <w:bookmarkEnd w:id="42"/>
      <w:bookmarkEnd w:id="43"/>
      <w:bookmarkEnd w:id="44"/>
      <w:r>
        <w:rPr>
          <w:szCs w:val="20"/>
        </w:rPr>
        <w:t>entre le 01/01/2016 et le 31/12/20</w:t>
      </w:r>
      <w:bookmarkEnd w:id="45"/>
      <w:r>
        <w:rPr>
          <w:szCs w:val="20"/>
        </w:rPr>
        <w:t>20 en considérant la suppression des eaux parasites</w:t>
      </w:r>
    </w:p>
    <w:p>
      <w:pPr>
        <w:rPr>
          <w:highlight w:val="yellow"/>
        </w:rPr>
      </w:pPr>
    </w:p>
    <w:p>
      <w:pPr>
        <w:jc w:val="center"/>
      </w:pPr>
      <w:r>
        <w:rPr>
          <w:noProof/>
        </w:rPr>
        <w:drawing>
          <wp:inline distT="0" distB="0" distL="0" distR="0">
            <wp:extent cx="4047116" cy="2202511"/>
            <wp:effectExtent l="19050" t="19050" r="10795" b="26670"/>
            <wp:docPr id="1381" name="Image 1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4051157" cy="2204710"/>
                    </a:xfrm>
                    <a:prstGeom prst="rect">
                      <a:avLst/>
                    </a:prstGeom>
                    <a:ln>
                      <a:solidFill>
                        <a:schemeClr val="tx1"/>
                      </a:solidFill>
                    </a:ln>
                  </pic:spPr>
                </pic:pic>
              </a:graphicData>
            </a:graphic>
          </wp:inline>
        </w:drawing>
      </w:r>
      <w:r>
        <w:rPr>
          <w:noProof/>
        </w:rPr>
        <w:t xml:space="preserve">   </w:t>
      </w:r>
    </w:p>
    <w:p>
      <w:pPr>
        <w:rPr>
          <w:b/>
        </w:rPr>
      </w:pPr>
      <w:r>
        <w:rPr>
          <w:b/>
        </w:rPr>
        <w:t>Dans la situation actuelle même en supprimant une partie des eaux parasites, la station d’épuration est sous dimensionnée.</w:t>
      </w:r>
    </w:p>
    <w:p>
      <w:pPr>
        <w:spacing w:before="0"/>
        <w:jc w:val="left"/>
        <w:rPr>
          <w:b/>
          <w:smallCaps/>
          <w:color w:val="FFFFFF"/>
          <w:sz w:val="22"/>
        </w:rPr>
      </w:pPr>
      <w:r>
        <w:br w:type="page"/>
      </w:r>
    </w:p>
    <w:p>
      <w:pPr>
        <w:pStyle w:val="Titre3"/>
      </w:pPr>
      <w:bookmarkStart w:id="46" w:name="_Toc52811327"/>
      <w:bookmarkStart w:id="47" w:name="_Toc92700763"/>
      <w:r>
        <w:lastRenderedPageBreak/>
        <w:t>Bilan des charges futures 2040 collectées vers la STEU après suppression des eaux parasites</w:t>
      </w:r>
      <w:bookmarkEnd w:id="46"/>
      <w:bookmarkEnd w:id="47"/>
    </w:p>
    <w:p>
      <w:pPr>
        <w:spacing w:before="0"/>
        <w:jc w:val="left"/>
      </w:pPr>
    </w:p>
    <w:p>
      <w:pPr>
        <w:spacing w:before="0"/>
      </w:pPr>
      <w:r>
        <w:t>A l’horizon 2040 soit 20 ans, en prenant en compte l’évolution de la population en zone urbaine et à urbaniser, le volume supplémentaire sera de 129m</w:t>
      </w:r>
      <w:r>
        <w:rPr>
          <w:vertAlign w:val="superscript"/>
        </w:rPr>
        <w:t>3</w:t>
      </w:r>
      <w:r>
        <w:t>/j*.</w:t>
      </w:r>
    </w:p>
    <w:p>
      <w:pPr>
        <w:spacing w:before="0"/>
      </w:pPr>
    </w:p>
    <w:p>
      <w:pPr>
        <w:spacing w:before="0"/>
        <w:rPr>
          <w:i/>
        </w:rPr>
      </w:pPr>
      <w:r>
        <w:rPr>
          <w:i/>
        </w:rPr>
        <w:t>*7121 habitants en 2040 soit 1 142 habitants de plus qu’aujourd’hui avec une consommation de 113l/j/ha.</w:t>
      </w:r>
    </w:p>
    <w:p>
      <w:r>
        <w:t>En prenant en compte la diminution des eaux parasites (déterminées sur la base des eaux parasites de la période 2016-2020) et une augmentation de la population à l’horizon 2040, les charges hydrauliques de références seraient les suivantes :</w:t>
      </w:r>
    </w:p>
    <w:p>
      <w:pPr>
        <w:pStyle w:val="Retrait20"/>
        <w:numPr>
          <w:ilvl w:val="0"/>
          <w:numId w:val="11"/>
        </w:numPr>
        <w:tabs>
          <w:tab w:val="clear" w:pos="928"/>
        </w:tabs>
        <w:ind w:left="964" w:hanging="284"/>
      </w:pPr>
      <w:r>
        <w:t>Volume moyen journalier : 877m</w:t>
      </w:r>
      <w:r>
        <w:rPr>
          <w:vertAlign w:val="superscript"/>
        </w:rPr>
        <w:t xml:space="preserve">3 </w:t>
      </w:r>
      <w:r>
        <w:t>soit 95% de la capacité de la station d’épuration ;</w:t>
      </w:r>
    </w:p>
    <w:p>
      <w:pPr>
        <w:pStyle w:val="Retrait20"/>
        <w:numPr>
          <w:ilvl w:val="0"/>
          <w:numId w:val="11"/>
        </w:numPr>
        <w:tabs>
          <w:tab w:val="clear" w:pos="928"/>
        </w:tabs>
        <w:ind w:left="964" w:hanging="284"/>
      </w:pPr>
      <w:r>
        <w:t>Percentile 95% : 1220m</w:t>
      </w:r>
      <w:r>
        <w:rPr>
          <w:vertAlign w:val="superscript"/>
        </w:rPr>
        <w:t>3</w:t>
      </w:r>
      <w:r>
        <w:t>/j  (95% du temps le volume journalier est inférieur à 1220m</w:t>
      </w:r>
      <w:r>
        <w:rPr>
          <w:vertAlign w:val="superscript"/>
        </w:rPr>
        <w:t>3</w:t>
      </w:r>
      <w:r>
        <w:t>) ;</w:t>
      </w:r>
    </w:p>
    <w:p>
      <w:pPr>
        <w:pStyle w:val="Retrait20"/>
        <w:numPr>
          <w:ilvl w:val="0"/>
          <w:numId w:val="11"/>
        </w:numPr>
        <w:tabs>
          <w:tab w:val="clear" w:pos="928"/>
        </w:tabs>
        <w:ind w:left="964" w:hanging="284"/>
      </w:pPr>
      <w:r>
        <w:t>Nombre de jour total de dépassement de la capacité nominale : 620 sur 5 ans soit environ 124 par an ;</w:t>
      </w:r>
    </w:p>
    <w:p>
      <w:pPr>
        <w:pStyle w:val="Retrait20"/>
        <w:numPr>
          <w:ilvl w:val="0"/>
          <w:numId w:val="0"/>
        </w:numPr>
        <w:ind w:left="964"/>
        <w:rPr>
          <w:highlight w:val="yellow"/>
        </w:rPr>
      </w:pPr>
    </w:p>
    <w:p>
      <w:r>
        <w:rPr>
          <w:noProof/>
        </w:rPr>
        <w:drawing>
          <wp:inline distT="0" distB="0" distL="0" distR="0">
            <wp:extent cx="5972810" cy="2794635"/>
            <wp:effectExtent l="19050" t="19050" r="27940" b="24765"/>
            <wp:docPr id="1382" name="Image 1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972810" cy="2794635"/>
                    </a:xfrm>
                    <a:prstGeom prst="rect">
                      <a:avLst/>
                    </a:prstGeom>
                    <a:ln>
                      <a:solidFill>
                        <a:schemeClr val="tx1"/>
                      </a:solidFill>
                    </a:ln>
                  </pic:spPr>
                </pic:pic>
              </a:graphicData>
            </a:graphic>
          </wp:inline>
        </w:drawing>
      </w:r>
      <w:r>
        <w:rPr>
          <w:noProof/>
        </w:rPr>
        <w:t xml:space="preserve">  </w:t>
      </w:r>
    </w:p>
    <w:p>
      <w:pPr>
        <w:pStyle w:val="Lgende"/>
        <w:rPr>
          <w:szCs w:val="20"/>
        </w:rPr>
      </w:pPr>
      <w:r>
        <w:rPr>
          <w:szCs w:val="20"/>
        </w:rPr>
        <w:t>Reconstitution des charges hydrauliques reçues entrée station entre le 01/01/2016 et le 31/12/2020 en considérant la suppression de eaux parasites et l’augmentation de la population (à l’horizon 2040)</w:t>
      </w:r>
    </w:p>
    <w:p>
      <w:pPr>
        <w:rPr>
          <w:highlight w:val="yellow"/>
        </w:rPr>
      </w:pPr>
    </w:p>
    <w:p>
      <w:pPr>
        <w:jc w:val="center"/>
      </w:pPr>
      <w:r>
        <w:rPr>
          <w:noProof/>
        </w:rPr>
        <w:drawing>
          <wp:inline distT="0" distB="0" distL="0" distR="0">
            <wp:extent cx="4059791" cy="2386800"/>
            <wp:effectExtent l="0" t="0" r="0" b="0"/>
            <wp:docPr id="1384" name="Image 1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4059791" cy="2386800"/>
                    </a:xfrm>
                    <a:prstGeom prst="rect">
                      <a:avLst/>
                    </a:prstGeom>
                  </pic:spPr>
                </pic:pic>
              </a:graphicData>
            </a:graphic>
          </wp:inline>
        </w:drawing>
      </w:r>
      <w:r>
        <w:rPr>
          <w:noProof/>
        </w:rPr>
        <w:t xml:space="preserve">  </w:t>
      </w:r>
    </w:p>
    <w:p>
      <w:pPr>
        <w:rPr>
          <w:b/>
        </w:rPr>
      </w:pPr>
      <w:r>
        <w:rPr>
          <w:b/>
        </w:rPr>
        <w:t>Dans la situation future (2040), même en supprimant une partie des eaux parasites, la station d’épuration sera sous-dimensionnée.</w:t>
      </w:r>
    </w:p>
    <w:p>
      <w:pPr>
        <w:rPr>
          <w:b/>
        </w:rPr>
      </w:pPr>
    </w:p>
    <w:p>
      <w:pPr>
        <w:rPr>
          <w:b/>
        </w:rPr>
      </w:pPr>
    </w:p>
    <w:p>
      <w:pPr>
        <w:pStyle w:val="Titre3"/>
      </w:pPr>
      <w:bookmarkStart w:id="48" w:name="_Toc52811328"/>
      <w:bookmarkStart w:id="49" w:name="_Toc92700764"/>
      <w:r>
        <w:lastRenderedPageBreak/>
        <w:t>Conclusion</w:t>
      </w:r>
      <w:bookmarkEnd w:id="48"/>
      <w:bookmarkEnd w:id="49"/>
    </w:p>
    <w:p>
      <w:pPr>
        <w:rPr>
          <w:b/>
        </w:rPr>
      </w:pPr>
      <w:r>
        <w:rPr>
          <w:b/>
        </w:rPr>
        <w:t>Les charges transférées vers la STEU de Saint-</w:t>
      </w:r>
      <w:proofErr w:type="spellStart"/>
      <w:r>
        <w:rPr>
          <w:b/>
        </w:rPr>
        <w:t>Gervasy</w:t>
      </w:r>
      <w:proofErr w:type="spellEnd"/>
      <w:r>
        <w:rPr>
          <w:b/>
        </w:rPr>
        <w:t xml:space="preserve"> sont :</w:t>
      </w:r>
    </w:p>
    <w:p>
      <w:pPr>
        <w:rPr>
          <w:highlight w:val="yellow"/>
        </w:rPr>
      </w:pPr>
    </w:p>
    <w:tbl>
      <w:tblPr>
        <w:tblW w:w="9684" w:type="dxa"/>
        <w:tblInd w:w="57" w:type="dxa"/>
        <w:tblLayout w:type="fixed"/>
        <w:tblCellMar>
          <w:left w:w="70" w:type="dxa"/>
          <w:right w:w="70" w:type="dxa"/>
        </w:tblCellMar>
        <w:tblLook w:val="04A0" w:firstRow="1" w:lastRow="0" w:firstColumn="1" w:lastColumn="0" w:noHBand="0" w:noVBand="1"/>
      </w:tblPr>
      <w:tblGrid>
        <w:gridCol w:w="2707"/>
        <w:gridCol w:w="1559"/>
        <w:gridCol w:w="1134"/>
        <w:gridCol w:w="1984"/>
        <w:gridCol w:w="2300"/>
      </w:tblGrid>
      <w:tr>
        <w:trPr>
          <w:trHeight w:val="780"/>
        </w:trPr>
        <w:tc>
          <w:tcPr>
            <w:tcW w:w="2707" w:type="dxa"/>
            <w:tcBorders>
              <w:top w:val="nil"/>
              <w:left w:val="nil"/>
              <w:bottom w:val="nil"/>
              <w:right w:val="nil"/>
            </w:tcBorders>
            <w:shd w:val="clear" w:color="auto" w:fill="auto"/>
            <w:noWrap/>
            <w:vAlign w:val="center"/>
            <w:hideMark/>
          </w:tcPr>
          <w:p>
            <w:pPr>
              <w:spacing w:before="0"/>
              <w:jc w:val="left"/>
              <w:rPr>
                <w:rFonts w:cs="Calibri"/>
                <w:color w:val="000000"/>
              </w:rPr>
            </w:pPr>
          </w:p>
        </w:tc>
        <w:tc>
          <w:tcPr>
            <w:tcW w:w="1559" w:type="dxa"/>
            <w:tcBorders>
              <w:top w:val="single" w:sz="8" w:space="0" w:color="auto"/>
              <w:left w:val="single" w:sz="8" w:space="0" w:color="auto"/>
              <w:bottom w:val="single" w:sz="4" w:space="0" w:color="auto"/>
              <w:right w:val="single" w:sz="8" w:space="0" w:color="auto"/>
            </w:tcBorders>
            <w:shd w:val="clear" w:color="000000" w:fill="95B3D7" w:themeFill="accent1" w:themeFillTint="99"/>
            <w:vAlign w:val="center"/>
            <w:hideMark/>
          </w:tcPr>
          <w:p>
            <w:pPr>
              <w:spacing w:before="0"/>
              <w:jc w:val="center"/>
              <w:rPr>
                <w:rFonts w:cs="Calibri"/>
                <w:b/>
                <w:bCs/>
                <w:color w:val="FFFFFF"/>
              </w:rPr>
            </w:pPr>
            <w:r>
              <w:rPr>
                <w:rFonts w:cs="Calibri"/>
                <w:b/>
                <w:bCs/>
                <w:color w:val="FFFFFF"/>
              </w:rPr>
              <w:t>Valeurs de dimensionnement</w:t>
            </w:r>
          </w:p>
        </w:tc>
        <w:tc>
          <w:tcPr>
            <w:tcW w:w="1134" w:type="dxa"/>
            <w:tcBorders>
              <w:top w:val="single" w:sz="8" w:space="0" w:color="auto"/>
              <w:left w:val="nil"/>
              <w:bottom w:val="single" w:sz="4" w:space="0" w:color="auto"/>
              <w:right w:val="single" w:sz="8" w:space="0" w:color="auto"/>
            </w:tcBorders>
            <w:shd w:val="clear" w:color="000000" w:fill="95B3D7" w:themeFill="accent1" w:themeFillTint="99"/>
            <w:vAlign w:val="center"/>
            <w:hideMark/>
          </w:tcPr>
          <w:p>
            <w:pPr>
              <w:spacing w:before="0"/>
              <w:jc w:val="center"/>
              <w:rPr>
                <w:rFonts w:cs="Calibri"/>
                <w:b/>
                <w:bCs/>
                <w:color w:val="FFFFFF"/>
              </w:rPr>
            </w:pPr>
            <w:r>
              <w:rPr>
                <w:rFonts w:cs="Calibri"/>
                <w:b/>
                <w:bCs/>
                <w:color w:val="FFFFFF"/>
              </w:rPr>
              <w:t>Situation actuelle</w:t>
            </w:r>
          </w:p>
        </w:tc>
        <w:tc>
          <w:tcPr>
            <w:tcW w:w="1984" w:type="dxa"/>
            <w:tcBorders>
              <w:top w:val="single" w:sz="8" w:space="0" w:color="auto"/>
              <w:left w:val="nil"/>
              <w:bottom w:val="single" w:sz="4" w:space="0" w:color="auto"/>
              <w:right w:val="single" w:sz="8" w:space="0" w:color="auto"/>
            </w:tcBorders>
            <w:shd w:val="clear" w:color="000000" w:fill="95B3D7" w:themeFill="accent1" w:themeFillTint="99"/>
            <w:vAlign w:val="center"/>
            <w:hideMark/>
          </w:tcPr>
          <w:p>
            <w:pPr>
              <w:spacing w:before="0"/>
              <w:jc w:val="center"/>
              <w:rPr>
                <w:rFonts w:cs="Calibri"/>
                <w:b/>
                <w:bCs/>
                <w:color w:val="FFFFFF"/>
              </w:rPr>
            </w:pPr>
            <w:r>
              <w:rPr>
                <w:rFonts w:cs="Calibri"/>
                <w:b/>
                <w:bCs/>
                <w:color w:val="FFFFFF"/>
              </w:rPr>
              <w:t>Situation actuelle – suppression des eaux parasites</w:t>
            </w:r>
          </w:p>
        </w:tc>
        <w:tc>
          <w:tcPr>
            <w:tcW w:w="2300" w:type="dxa"/>
            <w:tcBorders>
              <w:top w:val="single" w:sz="8" w:space="0" w:color="auto"/>
              <w:left w:val="nil"/>
              <w:bottom w:val="single" w:sz="4" w:space="0" w:color="auto"/>
              <w:right w:val="single" w:sz="8" w:space="0" w:color="auto"/>
            </w:tcBorders>
            <w:shd w:val="clear" w:color="000000" w:fill="95B3D7" w:themeFill="accent1" w:themeFillTint="99"/>
            <w:vAlign w:val="center"/>
            <w:hideMark/>
          </w:tcPr>
          <w:p>
            <w:pPr>
              <w:spacing w:before="0"/>
              <w:jc w:val="center"/>
              <w:rPr>
                <w:rFonts w:cs="Calibri"/>
                <w:b/>
                <w:bCs/>
                <w:color w:val="FFFFFF"/>
              </w:rPr>
            </w:pPr>
            <w:r>
              <w:rPr>
                <w:rFonts w:cs="Calibri"/>
                <w:b/>
                <w:bCs/>
                <w:color w:val="FFFFFF"/>
              </w:rPr>
              <w:t>Situation future – suppression des eaux parasites</w:t>
            </w:r>
          </w:p>
        </w:tc>
      </w:tr>
      <w:tr>
        <w:trPr>
          <w:trHeight w:val="300"/>
        </w:trPr>
        <w:tc>
          <w:tcPr>
            <w:tcW w:w="270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pPr>
              <w:rPr>
                <w:rFonts w:cs="Calibri"/>
                <w:color w:val="000000"/>
              </w:rPr>
            </w:pPr>
            <w:r>
              <w:rPr>
                <w:rFonts w:cs="Calibri"/>
                <w:color w:val="000000"/>
              </w:rPr>
              <w:t xml:space="preserve">Capacité de la STEU EH charge hydraulique </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pPr>
              <w:jc w:val="center"/>
              <w:rPr>
                <w:rFonts w:cs="Calibri"/>
                <w:color w:val="000000"/>
              </w:rPr>
            </w:pPr>
            <w:r>
              <w:rPr>
                <w:rFonts w:cs="Calibri"/>
                <w:color w:val="000000"/>
              </w:rPr>
              <w:t>6133</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pPr>
              <w:jc w:val="center"/>
              <w:rPr>
                <w:rFonts w:cs="Calibri"/>
                <w:color w:val="000000"/>
              </w:rPr>
            </w:pPr>
            <w:r>
              <w:rPr>
                <w:rFonts w:cs="Calibri"/>
                <w:color w:val="000000"/>
              </w:rPr>
              <w:t>8 900</w:t>
            </w:r>
          </w:p>
        </w:tc>
        <w:tc>
          <w:tcPr>
            <w:tcW w:w="1984" w:type="dxa"/>
            <w:tcBorders>
              <w:top w:val="single" w:sz="4" w:space="0" w:color="auto"/>
              <w:left w:val="nil"/>
              <w:bottom w:val="single" w:sz="4" w:space="0" w:color="auto"/>
              <w:right w:val="single" w:sz="4" w:space="0" w:color="auto"/>
            </w:tcBorders>
            <w:shd w:val="clear" w:color="auto" w:fill="auto"/>
            <w:noWrap/>
            <w:vAlign w:val="center"/>
            <w:hideMark/>
          </w:tcPr>
          <w:p>
            <w:pPr>
              <w:jc w:val="center"/>
              <w:rPr>
                <w:rFonts w:cs="Calibri"/>
                <w:color w:val="000000"/>
              </w:rPr>
            </w:pPr>
            <w:r>
              <w:rPr>
                <w:rFonts w:cs="Calibri"/>
                <w:color w:val="000000"/>
              </w:rPr>
              <w:t>7 280</w:t>
            </w:r>
          </w:p>
        </w:tc>
        <w:tc>
          <w:tcPr>
            <w:tcW w:w="2300" w:type="dxa"/>
            <w:tcBorders>
              <w:top w:val="single" w:sz="4" w:space="0" w:color="auto"/>
              <w:left w:val="nil"/>
              <w:bottom w:val="single" w:sz="4" w:space="0" w:color="auto"/>
              <w:right w:val="single" w:sz="4" w:space="0" w:color="auto"/>
            </w:tcBorders>
            <w:shd w:val="clear" w:color="auto" w:fill="auto"/>
            <w:noWrap/>
            <w:vAlign w:val="center"/>
            <w:hideMark/>
          </w:tcPr>
          <w:p>
            <w:pPr>
              <w:jc w:val="center"/>
              <w:rPr>
                <w:rFonts w:cs="Calibri"/>
                <w:color w:val="000000"/>
              </w:rPr>
            </w:pPr>
            <w:r>
              <w:rPr>
                <w:rFonts w:cs="Calibri"/>
                <w:color w:val="000000"/>
              </w:rPr>
              <w:t>8 133</w:t>
            </w:r>
          </w:p>
        </w:tc>
      </w:tr>
      <w:tr>
        <w:trPr>
          <w:trHeight w:val="300"/>
        </w:trPr>
        <w:tc>
          <w:tcPr>
            <w:tcW w:w="2707" w:type="dxa"/>
            <w:tcBorders>
              <w:top w:val="nil"/>
              <w:left w:val="single" w:sz="4" w:space="0" w:color="auto"/>
              <w:bottom w:val="single" w:sz="4" w:space="0" w:color="auto"/>
              <w:right w:val="single" w:sz="4" w:space="0" w:color="auto"/>
            </w:tcBorders>
            <w:shd w:val="clear" w:color="auto" w:fill="auto"/>
            <w:noWrap/>
            <w:vAlign w:val="center"/>
          </w:tcPr>
          <w:p>
            <w:pPr>
              <w:rPr>
                <w:rFonts w:cs="Calibri"/>
                <w:color w:val="000000"/>
              </w:rPr>
            </w:pPr>
            <w:r>
              <w:rPr>
                <w:rFonts w:cs="Calibri"/>
                <w:color w:val="000000"/>
              </w:rPr>
              <w:t>Capacité de la STEU EH charge polluante</w:t>
            </w:r>
          </w:p>
        </w:tc>
        <w:tc>
          <w:tcPr>
            <w:tcW w:w="1559" w:type="dxa"/>
            <w:tcBorders>
              <w:top w:val="single" w:sz="4" w:space="0" w:color="auto"/>
              <w:left w:val="nil"/>
              <w:bottom w:val="single" w:sz="4" w:space="0" w:color="auto"/>
              <w:right w:val="single" w:sz="4" w:space="0" w:color="auto"/>
            </w:tcBorders>
            <w:shd w:val="clear" w:color="auto" w:fill="auto"/>
            <w:noWrap/>
            <w:vAlign w:val="center"/>
          </w:tcPr>
          <w:p>
            <w:pPr>
              <w:jc w:val="center"/>
              <w:rPr>
                <w:rFonts w:cs="Calibri"/>
                <w:color w:val="000000"/>
              </w:rPr>
            </w:pPr>
            <w:r>
              <w:rPr>
                <w:rFonts w:cs="Calibri"/>
                <w:color w:val="000000"/>
              </w:rPr>
              <w:t>4 600</w:t>
            </w:r>
          </w:p>
        </w:tc>
        <w:tc>
          <w:tcPr>
            <w:tcW w:w="1134" w:type="dxa"/>
            <w:tcBorders>
              <w:top w:val="nil"/>
              <w:left w:val="single" w:sz="4" w:space="0" w:color="auto"/>
              <w:bottom w:val="single" w:sz="4" w:space="0" w:color="auto"/>
              <w:right w:val="single" w:sz="4" w:space="0" w:color="auto"/>
            </w:tcBorders>
            <w:shd w:val="clear" w:color="auto" w:fill="auto"/>
            <w:noWrap/>
            <w:vAlign w:val="center"/>
          </w:tcPr>
          <w:p>
            <w:pPr>
              <w:jc w:val="center"/>
              <w:rPr>
                <w:rFonts w:cs="Calibri"/>
                <w:color w:val="000000"/>
              </w:rPr>
            </w:pPr>
            <w:r>
              <w:rPr>
                <w:rFonts w:cs="Calibri"/>
                <w:color w:val="000000"/>
              </w:rPr>
              <w:t>6 667</w:t>
            </w:r>
          </w:p>
        </w:tc>
        <w:tc>
          <w:tcPr>
            <w:tcW w:w="1984" w:type="dxa"/>
            <w:tcBorders>
              <w:top w:val="nil"/>
              <w:left w:val="single" w:sz="4" w:space="0" w:color="auto"/>
              <w:bottom w:val="single" w:sz="4" w:space="0" w:color="auto"/>
              <w:right w:val="single" w:sz="4" w:space="0" w:color="auto"/>
            </w:tcBorders>
            <w:shd w:val="clear" w:color="auto" w:fill="auto"/>
            <w:noWrap/>
            <w:vAlign w:val="center"/>
          </w:tcPr>
          <w:p>
            <w:pPr>
              <w:jc w:val="center"/>
              <w:rPr>
                <w:rFonts w:cs="Calibri"/>
                <w:color w:val="000000"/>
              </w:rPr>
            </w:pPr>
            <w:r>
              <w:rPr>
                <w:rFonts w:cs="Calibri"/>
                <w:color w:val="000000"/>
              </w:rPr>
              <w:t>6 667</w:t>
            </w:r>
          </w:p>
        </w:tc>
        <w:tc>
          <w:tcPr>
            <w:tcW w:w="2300" w:type="dxa"/>
            <w:tcBorders>
              <w:top w:val="nil"/>
              <w:left w:val="single" w:sz="4" w:space="0" w:color="auto"/>
              <w:bottom w:val="single" w:sz="4" w:space="0" w:color="auto"/>
              <w:right w:val="single" w:sz="4" w:space="0" w:color="auto"/>
            </w:tcBorders>
            <w:shd w:val="clear" w:color="auto" w:fill="auto"/>
            <w:noWrap/>
            <w:vAlign w:val="center"/>
          </w:tcPr>
          <w:p>
            <w:pPr>
              <w:jc w:val="center"/>
              <w:rPr>
                <w:rFonts w:cs="Calibri"/>
                <w:color w:val="000000"/>
              </w:rPr>
            </w:pPr>
            <w:r>
              <w:rPr>
                <w:rFonts w:cs="Calibri"/>
                <w:color w:val="000000"/>
              </w:rPr>
              <w:t>7 809</w:t>
            </w:r>
          </w:p>
        </w:tc>
      </w:tr>
      <w:tr>
        <w:trPr>
          <w:trHeight w:val="300"/>
        </w:trPr>
        <w:tc>
          <w:tcPr>
            <w:tcW w:w="2707" w:type="dxa"/>
            <w:tcBorders>
              <w:top w:val="nil"/>
              <w:left w:val="single" w:sz="4" w:space="0" w:color="auto"/>
              <w:bottom w:val="single" w:sz="4" w:space="0" w:color="auto"/>
              <w:right w:val="single" w:sz="4" w:space="0" w:color="auto"/>
            </w:tcBorders>
            <w:shd w:val="clear" w:color="auto" w:fill="auto"/>
            <w:noWrap/>
            <w:vAlign w:val="center"/>
            <w:hideMark/>
          </w:tcPr>
          <w:p>
            <w:pPr>
              <w:rPr>
                <w:rFonts w:cs="Calibri"/>
                <w:color w:val="000000"/>
              </w:rPr>
            </w:pPr>
            <w:r>
              <w:rPr>
                <w:rFonts w:cs="Calibri"/>
                <w:color w:val="000000"/>
              </w:rPr>
              <w:t>Débit journalier m</w:t>
            </w:r>
            <w:r>
              <w:rPr>
                <w:rFonts w:cs="Calibri"/>
                <w:color w:val="000000"/>
                <w:vertAlign w:val="superscript"/>
              </w:rPr>
              <w:t>3</w:t>
            </w:r>
            <w:r>
              <w:rPr>
                <w:rFonts w:cs="Calibri"/>
                <w:color w:val="000000"/>
              </w:rPr>
              <w:t>/j (percentile 95)</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pPr>
              <w:jc w:val="center"/>
              <w:rPr>
                <w:rFonts w:cs="Calibri"/>
                <w:color w:val="000000"/>
              </w:rPr>
            </w:pPr>
            <w:r>
              <w:rPr>
                <w:rFonts w:cs="Calibri"/>
                <w:color w:val="000000"/>
              </w:rPr>
              <w:t>920</w:t>
            </w:r>
          </w:p>
        </w:tc>
        <w:tc>
          <w:tcPr>
            <w:tcW w:w="1134" w:type="dxa"/>
            <w:tcBorders>
              <w:top w:val="nil"/>
              <w:left w:val="single" w:sz="4" w:space="0" w:color="auto"/>
              <w:bottom w:val="single" w:sz="4" w:space="0" w:color="auto"/>
              <w:right w:val="single" w:sz="4" w:space="0" w:color="auto"/>
            </w:tcBorders>
            <w:shd w:val="clear" w:color="auto" w:fill="auto"/>
            <w:noWrap/>
            <w:vAlign w:val="center"/>
            <w:hideMark/>
          </w:tcPr>
          <w:p>
            <w:pPr>
              <w:jc w:val="center"/>
              <w:rPr>
                <w:rFonts w:cs="Calibri"/>
                <w:color w:val="000000"/>
              </w:rPr>
            </w:pPr>
            <w:r>
              <w:rPr>
                <w:rFonts w:cs="Calibri"/>
                <w:color w:val="000000"/>
              </w:rPr>
              <w:t>1335</w:t>
            </w:r>
          </w:p>
        </w:tc>
        <w:tc>
          <w:tcPr>
            <w:tcW w:w="1984" w:type="dxa"/>
            <w:tcBorders>
              <w:top w:val="nil"/>
              <w:left w:val="single" w:sz="4" w:space="0" w:color="auto"/>
              <w:bottom w:val="single" w:sz="4" w:space="0" w:color="auto"/>
              <w:right w:val="single" w:sz="4" w:space="0" w:color="auto"/>
            </w:tcBorders>
            <w:shd w:val="clear" w:color="auto" w:fill="auto"/>
            <w:noWrap/>
            <w:vAlign w:val="center"/>
            <w:hideMark/>
          </w:tcPr>
          <w:p>
            <w:pPr>
              <w:jc w:val="center"/>
              <w:rPr>
                <w:rFonts w:cs="Calibri"/>
                <w:color w:val="000000"/>
              </w:rPr>
            </w:pPr>
            <w:r>
              <w:rPr>
                <w:rFonts w:cs="Calibri"/>
                <w:color w:val="000000"/>
              </w:rPr>
              <w:t>1092</w:t>
            </w:r>
          </w:p>
        </w:tc>
        <w:tc>
          <w:tcPr>
            <w:tcW w:w="2300" w:type="dxa"/>
            <w:tcBorders>
              <w:top w:val="nil"/>
              <w:left w:val="single" w:sz="4" w:space="0" w:color="auto"/>
              <w:bottom w:val="single" w:sz="4" w:space="0" w:color="auto"/>
              <w:right w:val="single" w:sz="4" w:space="0" w:color="auto"/>
            </w:tcBorders>
            <w:shd w:val="clear" w:color="auto" w:fill="auto"/>
            <w:noWrap/>
            <w:vAlign w:val="center"/>
            <w:hideMark/>
          </w:tcPr>
          <w:p>
            <w:pPr>
              <w:jc w:val="center"/>
              <w:rPr>
                <w:rFonts w:cs="Calibri"/>
                <w:color w:val="000000"/>
              </w:rPr>
            </w:pPr>
            <w:r>
              <w:rPr>
                <w:rFonts w:cs="Calibri"/>
                <w:color w:val="000000"/>
              </w:rPr>
              <w:t>1220</w:t>
            </w:r>
          </w:p>
        </w:tc>
      </w:tr>
      <w:tr>
        <w:trPr>
          <w:trHeight w:val="300"/>
        </w:trPr>
        <w:tc>
          <w:tcPr>
            <w:tcW w:w="2707" w:type="dxa"/>
            <w:tcBorders>
              <w:top w:val="nil"/>
              <w:left w:val="single" w:sz="4" w:space="0" w:color="auto"/>
              <w:bottom w:val="single" w:sz="4" w:space="0" w:color="auto"/>
              <w:right w:val="single" w:sz="4" w:space="0" w:color="auto"/>
            </w:tcBorders>
            <w:shd w:val="clear" w:color="auto" w:fill="auto"/>
            <w:noWrap/>
            <w:vAlign w:val="center"/>
            <w:hideMark/>
          </w:tcPr>
          <w:p>
            <w:pPr>
              <w:rPr>
                <w:rFonts w:cs="Calibri"/>
                <w:color w:val="000000"/>
              </w:rPr>
            </w:pPr>
            <w:r>
              <w:rPr>
                <w:rFonts w:cs="Calibri"/>
                <w:color w:val="000000"/>
              </w:rPr>
              <w:t>Débit moyen horaire (m</w:t>
            </w:r>
            <w:r>
              <w:rPr>
                <w:rFonts w:cs="Calibri"/>
                <w:color w:val="000000"/>
                <w:vertAlign w:val="superscript"/>
              </w:rPr>
              <w:t>3</w:t>
            </w:r>
            <w:r>
              <w:rPr>
                <w:rFonts w:cs="Calibri"/>
                <w:color w:val="000000"/>
              </w:rPr>
              <w:t>/h)</w:t>
            </w:r>
          </w:p>
        </w:tc>
        <w:tc>
          <w:tcPr>
            <w:tcW w:w="1559" w:type="dxa"/>
            <w:tcBorders>
              <w:top w:val="nil"/>
              <w:left w:val="nil"/>
              <w:bottom w:val="single" w:sz="4" w:space="0" w:color="auto"/>
              <w:right w:val="single" w:sz="4" w:space="0" w:color="auto"/>
            </w:tcBorders>
            <w:shd w:val="clear" w:color="auto" w:fill="auto"/>
            <w:noWrap/>
            <w:vAlign w:val="center"/>
            <w:hideMark/>
          </w:tcPr>
          <w:p>
            <w:pPr>
              <w:jc w:val="center"/>
              <w:rPr>
                <w:rFonts w:cs="Calibri"/>
                <w:color w:val="000000"/>
              </w:rPr>
            </w:pPr>
            <w:r>
              <w:rPr>
                <w:rFonts w:cs="Calibri"/>
                <w:color w:val="000000"/>
              </w:rPr>
              <w:t>38</w:t>
            </w:r>
          </w:p>
        </w:tc>
        <w:tc>
          <w:tcPr>
            <w:tcW w:w="1134" w:type="dxa"/>
            <w:tcBorders>
              <w:top w:val="nil"/>
              <w:left w:val="nil"/>
              <w:bottom w:val="single" w:sz="4" w:space="0" w:color="auto"/>
              <w:right w:val="single" w:sz="4" w:space="0" w:color="auto"/>
            </w:tcBorders>
            <w:shd w:val="clear" w:color="auto" w:fill="auto"/>
            <w:noWrap/>
            <w:vAlign w:val="center"/>
            <w:hideMark/>
          </w:tcPr>
          <w:p>
            <w:pPr>
              <w:jc w:val="center"/>
              <w:rPr>
                <w:rFonts w:cs="Calibri"/>
                <w:color w:val="000000"/>
              </w:rPr>
            </w:pPr>
            <w:r>
              <w:rPr>
                <w:rFonts w:cs="Calibri"/>
                <w:color w:val="000000"/>
              </w:rPr>
              <w:t>55,6</w:t>
            </w:r>
          </w:p>
        </w:tc>
        <w:tc>
          <w:tcPr>
            <w:tcW w:w="1984" w:type="dxa"/>
            <w:tcBorders>
              <w:top w:val="nil"/>
              <w:left w:val="nil"/>
              <w:bottom w:val="single" w:sz="4" w:space="0" w:color="auto"/>
              <w:right w:val="single" w:sz="4" w:space="0" w:color="auto"/>
            </w:tcBorders>
            <w:shd w:val="clear" w:color="auto" w:fill="auto"/>
            <w:noWrap/>
            <w:vAlign w:val="center"/>
            <w:hideMark/>
          </w:tcPr>
          <w:p>
            <w:pPr>
              <w:jc w:val="center"/>
              <w:rPr>
                <w:rFonts w:cs="Calibri"/>
                <w:color w:val="000000"/>
              </w:rPr>
            </w:pPr>
            <w:r>
              <w:rPr>
                <w:rFonts w:cs="Calibri"/>
                <w:color w:val="000000"/>
              </w:rPr>
              <w:t>45,5</w:t>
            </w:r>
          </w:p>
        </w:tc>
        <w:tc>
          <w:tcPr>
            <w:tcW w:w="2300" w:type="dxa"/>
            <w:tcBorders>
              <w:top w:val="nil"/>
              <w:left w:val="nil"/>
              <w:bottom w:val="single" w:sz="4" w:space="0" w:color="auto"/>
              <w:right w:val="single" w:sz="4" w:space="0" w:color="auto"/>
            </w:tcBorders>
            <w:shd w:val="clear" w:color="auto" w:fill="auto"/>
            <w:noWrap/>
            <w:vAlign w:val="center"/>
            <w:hideMark/>
          </w:tcPr>
          <w:p>
            <w:pPr>
              <w:jc w:val="center"/>
              <w:rPr>
                <w:rFonts w:cs="Calibri"/>
                <w:color w:val="000000"/>
              </w:rPr>
            </w:pPr>
            <w:r>
              <w:rPr>
                <w:rFonts w:cs="Calibri"/>
                <w:color w:val="000000"/>
              </w:rPr>
              <w:t>50,8</w:t>
            </w:r>
          </w:p>
        </w:tc>
      </w:tr>
      <w:tr>
        <w:trPr>
          <w:trHeight w:val="300"/>
        </w:trPr>
        <w:tc>
          <w:tcPr>
            <w:tcW w:w="2707" w:type="dxa"/>
            <w:tcBorders>
              <w:top w:val="nil"/>
              <w:left w:val="single" w:sz="4" w:space="0" w:color="auto"/>
              <w:bottom w:val="single" w:sz="4" w:space="0" w:color="auto"/>
              <w:right w:val="single" w:sz="4" w:space="0" w:color="auto"/>
            </w:tcBorders>
            <w:shd w:val="clear" w:color="auto" w:fill="auto"/>
            <w:noWrap/>
            <w:vAlign w:val="center"/>
            <w:hideMark/>
          </w:tcPr>
          <w:p>
            <w:pPr>
              <w:rPr>
                <w:rFonts w:cs="Calibri"/>
                <w:color w:val="000000"/>
              </w:rPr>
            </w:pPr>
            <w:r>
              <w:rPr>
                <w:rFonts w:cs="Calibri"/>
                <w:color w:val="000000"/>
              </w:rPr>
              <w:t>Débit de pointe horaire (m</w:t>
            </w:r>
            <w:r>
              <w:rPr>
                <w:rFonts w:cs="Calibri"/>
                <w:color w:val="000000"/>
                <w:vertAlign w:val="superscript"/>
              </w:rPr>
              <w:t>3</w:t>
            </w:r>
            <w:r>
              <w:rPr>
                <w:rFonts w:cs="Calibri"/>
                <w:color w:val="000000"/>
              </w:rPr>
              <w:t>/h)</w:t>
            </w:r>
          </w:p>
        </w:tc>
        <w:tc>
          <w:tcPr>
            <w:tcW w:w="1559" w:type="dxa"/>
            <w:tcBorders>
              <w:top w:val="nil"/>
              <w:left w:val="nil"/>
              <w:bottom w:val="single" w:sz="4" w:space="0" w:color="auto"/>
              <w:right w:val="single" w:sz="4" w:space="0" w:color="auto"/>
            </w:tcBorders>
            <w:shd w:val="clear" w:color="auto" w:fill="auto"/>
            <w:noWrap/>
            <w:vAlign w:val="center"/>
            <w:hideMark/>
          </w:tcPr>
          <w:p>
            <w:pPr>
              <w:jc w:val="center"/>
              <w:rPr>
                <w:rFonts w:cs="Calibri"/>
                <w:color w:val="000000"/>
              </w:rPr>
            </w:pPr>
            <w:r>
              <w:rPr>
                <w:rFonts w:cs="Calibri"/>
                <w:color w:val="000000"/>
              </w:rPr>
              <w:t>230</w:t>
            </w:r>
          </w:p>
        </w:tc>
        <w:tc>
          <w:tcPr>
            <w:tcW w:w="1134" w:type="dxa"/>
            <w:tcBorders>
              <w:top w:val="nil"/>
              <w:left w:val="nil"/>
              <w:bottom w:val="single" w:sz="4" w:space="0" w:color="auto"/>
              <w:right w:val="single" w:sz="4" w:space="0" w:color="auto"/>
            </w:tcBorders>
            <w:shd w:val="clear" w:color="auto" w:fill="auto"/>
            <w:noWrap/>
            <w:vAlign w:val="center"/>
            <w:hideMark/>
          </w:tcPr>
          <w:p>
            <w:pPr>
              <w:jc w:val="center"/>
              <w:rPr>
                <w:rFonts w:cs="Calibri"/>
                <w:color w:val="000000"/>
              </w:rPr>
            </w:pPr>
            <w:r>
              <w:rPr>
                <w:rFonts w:cs="Calibri"/>
                <w:color w:val="000000"/>
              </w:rPr>
              <w:t>102</w:t>
            </w:r>
          </w:p>
        </w:tc>
        <w:tc>
          <w:tcPr>
            <w:tcW w:w="1984" w:type="dxa"/>
            <w:tcBorders>
              <w:top w:val="nil"/>
              <w:left w:val="nil"/>
              <w:bottom w:val="single" w:sz="4" w:space="0" w:color="auto"/>
              <w:right w:val="single" w:sz="4" w:space="0" w:color="auto"/>
            </w:tcBorders>
            <w:shd w:val="clear" w:color="auto" w:fill="auto"/>
            <w:noWrap/>
            <w:vAlign w:val="center"/>
            <w:hideMark/>
          </w:tcPr>
          <w:p>
            <w:pPr>
              <w:jc w:val="center"/>
              <w:rPr>
                <w:rFonts w:cs="Calibri"/>
                <w:color w:val="000000"/>
              </w:rPr>
            </w:pPr>
            <w:r>
              <w:rPr>
                <w:rFonts w:cs="Calibri"/>
                <w:color w:val="000000"/>
              </w:rPr>
              <w:t>85</w:t>
            </w:r>
          </w:p>
        </w:tc>
        <w:tc>
          <w:tcPr>
            <w:tcW w:w="2300" w:type="dxa"/>
            <w:tcBorders>
              <w:top w:val="nil"/>
              <w:left w:val="nil"/>
              <w:bottom w:val="single" w:sz="4" w:space="0" w:color="auto"/>
              <w:right w:val="single" w:sz="4" w:space="0" w:color="auto"/>
            </w:tcBorders>
            <w:shd w:val="clear" w:color="auto" w:fill="auto"/>
            <w:noWrap/>
            <w:vAlign w:val="center"/>
            <w:hideMark/>
          </w:tcPr>
          <w:p>
            <w:pPr>
              <w:jc w:val="center"/>
              <w:rPr>
                <w:rFonts w:cs="Calibri"/>
                <w:color w:val="000000"/>
              </w:rPr>
            </w:pPr>
            <w:r>
              <w:rPr>
                <w:rFonts w:cs="Calibri"/>
                <w:color w:val="000000"/>
              </w:rPr>
              <w:t>94</w:t>
            </w:r>
          </w:p>
        </w:tc>
      </w:tr>
      <w:tr>
        <w:trPr>
          <w:trHeight w:val="300"/>
        </w:trPr>
        <w:tc>
          <w:tcPr>
            <w:tcW w:w="2707" w:type="dxa"/>
            <w:tcBorders>
              <w:top w:val="nil"/>
              <w:left w:val="single" w:sz="4" w:space="0" w:color="auto"/>
              <w:bottom w:val="single" w:sz="4" w:space="0" w:color="auto"/>
              <w:right w:val="single" w:sz="4" w:space="0" w:color="auto"/>
            </w:tcBorders>
            <w:shd w:val="clear" w:color="auto" w:fill="auto"/>
            <w:noWrap/>
            <w:vAlign w:val="center"/>
            <w:hideMark/>
          </w:tcPr>
          <w:p>
            <w:pPr>
              <w:rPr>
                <w:rFonts w:cs="Calibri"/>
                <w:color w:val="000000"/>
              </w:rPr>
            </w:pPr>
            <w:r>
              <w:rPr>
                <w:rFonts w:cs="Calibri"/>
                <w:color w:val="000000"/>
              </w:rPr>
              <w:t>Charge polluante (kg/DBO</w:t>
            </w:r>
            <w:r>
              <w:rPr>
                <w:rFonts w:cs="Calibri"/>
                <w:color w:val="000000"/>
                <w:vertAlign w:val="subscript"/>
              </w:rPr>
              <w:t>5</w:t>
            </w:r>
            <w:r>
              <w:rPr>
                <w:rFonts w:cs="Calibri"/>
                <w:color w:val="000000"/>
              </w:rPr>
              <w:t>/j)</w:t>
            </w:r>
          </w:p>
        </w:tc>
        <w:tc>
          <w:tcPr>
            <w:tcW w:w="1559" w:type="dxa"/>
            <w:tcBorders>
              <w:top w:val="nil"/>
              <w:left w:val="nil"/>
              <w:bottom w:val="single" w:sz="4" w:space="0" w:color="auto"/>
              <w:right w:val="single" w:sz="4" w:space="0" w:color="auto"/>
            </w:tcBorders>
            <w:shd w:val="clear" w:color="auto" w:fill="auto"/>
            <w:noWrap/>
            <w:vAlign w:val="center"/>
            <w:hideMark/>
          </w:tcPr>
          <w:p>
            <w:pPr>
              <w:jc w:val="center"/>
              <w:rPr>
                <w:rFonts w:cs="Calibri"/>
                <w:color w:val="000000"/>
              </w:rPr>
            </w:pPr>
            <w:r>
              <w:rPr>
                <w:rFonts w:cs="Calibri"/>
                <w:color w:val="000000"/>
              </w:rPr>
              <w:t>276</w:t>
            </w:r>
          </w:p>
        </w:tc>
        <w:tc>
          <w:tcPr>
            <w:tcW w:w="1134" w:type="dxa"/>
            <w:tcBorders>
              <w:top w:val="nil"/>
              <w:left w:val="nil"/>
              <w:bottom w:val="single" w:sz="4" w:space="0" w:color="auto"/>
              <w:right w:val="single" w:sz="4" w:space="0" w:color="auto"/>
            </w:tcBorders>
            <w:shd w:val="clear" w:color="auto" w:fill="auto"/>
            <w:noWrap/>
            <w:vAlign w:val="center"/>
            <w:hideMark/>
          </w:tcPr>
          <w:p>
            <w:pPr>
              <w:jc w:val="center"/>
              <w:rPr>
                <w:rFonts w:cs="Calibri"/>
                <w:color w:val="000000"/>
              </w:rPr>
            </w:pPr>
            <w:r>
              <w:rPr>
                <w:rFonts w:cs="Calibri"/>
                <w:color w:val="000000"/>
              </w:rPr>
              <w:t>400</w:t>
            </w:r>
          </w:p>
        </w:tc>
        <w:tc>
          <w:tcPr>
            <w:tcW w:w="1984" w:type="dxa"/>
            <w:tcBorders>
              <w:top w:val="nil"/>
              <w:left w:val="nil"/>
              <w:bottom w:val="single" w:sz="4" w:space="0" w:color="auto"/>
              <w:right w:val="single" w:sz="4" w:space="0" w:color="auto"/>
            </w:tcBorders>
            <w:shd w:val="clear" w:color="auto" w:fill="auto"/>
            <w:noWrap/>
            <w:vAlign w:val="center"/>
            <w:hideMark/>
          </w:tcPr>
          <w:p>
            <w:pPr>
              <w:jc w:val="center"/>
              <w:rPr>
                <w:rFonts w:cs="Calibri"/>
                <w:color w:val="000000"/>
              </w:rPr>
            </w:pPr>
            <w:r>
              <w:rPr>
                <w:rFonts w:cs="Calibri"/>
                <w:color w:val="000000"/>
              </w:rPr>
              <w:t>400</w:t>
            </w:r>
          </w:p>
        </w:tc>
        <w:tc>
          <w:tcPr>
            <w:tcW w:w="2300" w:type="dxa"/>
            <w:tcBorders>
              <w:top w:val="nil"/>
              <w:left w:val="nil"/>
              <w:bottom w:val="single" w:sz="4" w:space="0" w:color="auto"/>
              <w:right w:val="single" w:sz="4" w:space="0" w:color="auto"/>
            </w:tcBorders>
            <w:shd w:val="clear" w:color="auto" w:fill="auto"/>
            <w:noWrap/>
            <w:vAlign w:val="center"/>
            <w:hideMark/>
          </w:tcPr>
          <w:p>
            <w:pPr>
              <w:jc w:val="center"/>
              <w:rPr>
                <w:rFonts w:cs="Calibri"/>
                <w:color w:val="000000"/>
              </w:rPr>
            </w:pPr>
            <w:r>
              <w:rPr>
                <w:rFonts w:cs="Calibri"/>
                <w:color w:val="000000"/>
              </w:rPr>
              <w:t>469</w:t>
            </w:r>
          </w:p>
        </w:tc>
      </w:tr>
    </w:tbl>
    <w:p>
      <w:pPr>
        <w:pStyle w:val="Lgende"/>
        <w:rPr>
          <w:szCs w:val="20"/>
        </w:rPr>
      </w:pPr>
      <w:bookmarkStart w:id="50" w:name="_Toc52809379"/>
      <w:r>
        <w:rPr>
          <w:szCs w:val="20"/>
        </w:rPr>
        <w:t>Conclusion sur la situation future</w:t>
      </w:r>
      <w:bookmarkEnd w:id="50"/>
      <w:r>
        <w:rPr>
          <w:szCs w:val="20"/>
        </w:rPr>
        <w:t xml:space="preserve"> sur les eaux usées arrivant à la STEU de Saint-</w:t>
      </w:r>
      <w:proofErr w:type="spellStart"/>
      <w:r>
        <w:rPr>
          <w:szCs w:val="20"/>
        </w:rPr>
        <w:t>Gervasy</w:t>
      </w:r>
      <w:proofErr w:type="spellEnd"/>
    </w:p>
    <w:p>
      <w:r>
        <w:t xml:space="preserve">La station d’épuration serait saturée en situation actuelle même en supprimant les eaux parasites localisées conformément au programme de travaux. A l’horizon 2040, le développement urbanistique des communes de </w:t>
      </w:r>
      <w:proofErr w:type="spellStart"/>
      <w:r>
        <w:t>Bezouce</w:t>
      </w:r>
      <w:proofErr w:type="spellEnd"/>
      <w:r>
        <w:t>, Saint-</w:t>
      </w:r>
      <w:proofErr w:type="spellStart"/>
      <w:r>
        <w:t>Gervasy</w:t>
      </w:r>
      <w:proofErr w:type="spellEnd"/>
      <w:r>
        <w:t xml:space="preserve"> et </w:t>
      </w:r>
      <w:proofErr w:type="spellStart"/>
      <w:r>
        <w:t>Cabrières</w:t>
      </w:r>
      <w:proofErr w:type="spellEnd"/>
      <w:r>
        <w:t xml:space="preserve"> conduit à une augmentation de la saturation de la station d’épuration.</w:t>
      </w:r>
    </w:p>
    <w:p>
      <w:pPr>
        <w:rPr>
          <w:b/>
        </w:rPr>
      </w:pPr>
      <w:r>
        <w:rPr>
          <w:b/>
        </w:rPr>
        <w:t>Les charges de l’ensemble des communes (</w:t>
      </w:r>
      <w:proofErr w:type="spellStart"/>
      <w:r>
        <w:rPr>
          <w:b/>
        </w:rPr>
        <w:t>Bezouce</w:t>
      </w:r>
      <w:proofErr w:type="spellEnd"/>
      <w:r>
        <w:rPr>
          <w:b/>
        </w:rPr>
        <w:t xml:space="preserve"> / Saint-</w:t>
      </w:r>
      <w:proofErr w:type="spellStart"/>
      <w:r>
        <w:rPr>
          <w:b/>
        </w:rPr>
        <w:t>Gervasy</w:t>
      </w:r>
      <w:proofErr w:type="spellEnd"/>
      <w:r>
        <w:rPr>
          <w:b/>
        </w:rPr>
        <w:t xml:space="preserve"> / </w:t>
      </w:r>
      <w:proofErr w:type="spellStart"/>
      <w:r>
        <w:rPr>
          <w:b/>
        </w:rPr>
        <w:t>Cabrières</w:t>
      </w:r>
      <w:proofErr w:type="spellEnd"/>
      <w:r>
        <w:rPr>
          <w:b/>
        </w:rPr>
        <w:t>), y compris les flux aujourd’hui transférés vers Marguerittes sont :</w:t>
      </w:r>
    </w:p>
    <w:tbl>
      <w:tblPr>
        <w:tblW w:w="8660" w:type="dxa"/>
        <w:jc w:val="center"/>
        <w:tblLayout w:type="fixed"/>
        <w:tblCellMar>
          <w:left w:w="70" w:type="dxa"/>
          <w:right w:w="70" w:type="dxa"/>
        </w:tblCellMar>
        <w:tblLook w:val="04A0" w:firstRow="1" w:lastRow="0" w:firstColumn="1" w:lastColumn="0" w:noHBand="0" w:noVBand="1"/>
      </w:tblPr>
      <w:tblGrid>
        <w:gridCol w:w="3415"/>
        <w:gridCol w:w="1134"/>
        <w:gridCol w:w="1985"/>
        <w:gridCol w:w="2126"/>
      </w:tblGrid>
      <w:tr>
        <w:trPr>
          <w:trHeight w:val="780"/>
          <w:jc w:val="center"/>
        </w:trPr>
        <w:tc>
          <w:tcPr>
            <w:tcW w:w="3415" w:type="dxa"/>
            <w:tcBorders>
              <w:top w:val="nil"/>
              <w:left w:val="nil"/>
              <w:bottom w:val="nil"/>
              <w:right w:val="single" w:sz="4" w:space="0" w:color="auto"/>
            </w:tcBorders>
            <w:noWrap/>
            <w:vAlign w:val="center"/>
            <w:hideMark/>
          </w:tcPr>
          <w:p>
            <w:pPr>
              <w:spacing w:before="0"/>
              <w:jc w:val="left"/>
              <w:rPr>
                <w:rFonts w:ascii="Times New Roman" w:hAnsi="Times New Roman"/>
              </w:rPr>
            </w:pPr>
          </w:p>
          <w:p>
            <w:pPr>
              <w:spacing w:before="0"/>
              <w:jc w:val="left"/>
              <w:rPr>
                <w:rFonts w:ascii="Times New Roman" w:hAnsi="Times New Roman"/>
              </w:rPr>
            </w:pPr>
          </w:p>
        </w:tc>
        <w:tc>
          <w:tcPr>
            <w:tcW w:w="1134" w:type="dxa"/>
            <w:tcBorders>
              <w:top w:val="single" w:sz="4" w:space="0" w:color="auto"/>
              <w:left w:val="single" w:sz="4" w:space="0" w:color="auto"/>
              <w:bottom w:val="single" w:sz="4" w:space="0" w:color="auto"/>
              <w:right w:val="single" w:sz="4" w:space="0" w:color="auto"/>
            </w:tcBorders>
            <w:shd w:val="clear" w:color="auto" w:fill="95B3D7" w:themeFill="accent1" w:themeFillTint="99"/>
            <w:vAlign w:val="center"/>
            <w:hideMark/>
          </w:tcPr>
          <w:p>
            <w:pPr>
              <w:spacing w:before="0"/>
              <w:jc w:val="center"/>
              <w:rPr>
                <w:rFonts w:cs="Calibri"/>
                <w:b/>
                <w:bCs/>
                <w:color w:val="FFFFFF"/>
              </w:rPr>
            </w:pPr>
            <w:r>
              <w:rPr>
                <w:rFonts w:cs="Calibri"/>
                <w:b/>
                <w:bCs/>
                <w:color w:val="FFFFFF"/>
              </w:rPr>
              <w:t>Situation actuelle</w:t>
            </w:r>
          </w:p>
        </w:tc>
        <w:tc>
          <w:tcPr>
            <w:tcW w:w="1985" w:type="dxa"/>
            <w:tcBorders>
              <w:top w:val="single" w:sz="4" w:space="0" w:color="auto"/>
              <w:left w:val="single" w:sz="4" w:space="0" w:color="auto"/>
              <w:bottom w:val="single" w:sz="4" w:space="0" w:color="auto"/>
              <w:right w:val="single" w:sz="4" w:space="0" w:color="auto"/>
            </w:tcBorders>
            <w:shd w:val="clear" w:color="auto" w:fill="95B3D7" w:themeFill="accent1" w:themeFillTint="99"/>
            <w:vAlign w:val="center"/>
            <w:hideMark/>
          </w:tcPr>
          <w:p>
            <w:pPr>
              <w:spacing w:before="0"/>
              <w:jc w:val="center"/>
              <w:rPr>
                <w:rFonts w:cs="Calibri"/>
                <w:b/>
                <w:bCs/>
                <w:color w:val="FFFFFF"/>
              </w:rPr>
            </w:pPr>
            <w:r>
              <w:rPr>
                <w:rFonts w:cs="Calibri"/>
                <w:b/>
                <w:bCs/>
                <w:color w:val="FFFFFF"/>
              </w:rPr>
              <w:t>Situation actuelle – suppression des eaux parasites</w:t>
            </w:r>
          </w:p>
        </w:tc>
        <w:tc>
          <w:tcPr>
            <w:tcW w:w="2126" w:type="dxa"/>
            <w:tcBorders>
              <w:top w:val="single" w:sz="4" w:space="0" w:color="auto"/>
              <w:left w:val="single" w:sz="4" w:space="0" w:color="auto"/>
              <w:bottom w:val="single" w:sz="4" w:space="0" w:color="auto"/>
              <w:right w:val="single" w:sz="4" w:space="0" w:color="auto"/>
            </w:tcBorders>
            <w:shd w:val="clear" w:color="auto" w:fill="95B3D7" w:themeFill="accent1" w:themeFillTint="99"/>
            <w:vAlign w:val="center"/>
            <w:hideMark/>
          </w:tcPr>
          <w:p>
            <w:pPr>
              <w:spacing w:before="0"/>
              <w:jc w:val="center"/>
              <w:rPr>
                <w:rFonts w:cs="Calibri"/>
                <w:b/>
                <w:bCs/>
                <w:color w:val="FFFFFF"/>
              </w:rPr>
            </w:pPr>
            <w:r>
              <w:rPr>
                <w:rFonts w:cs="Calibri"/>
                <w:b/>
                <w:bCs/>
                <w:color w:val="FFFFFF"/>
              </w:rPr>
              <w:t>Situation future – suppression des eaux parasites</w:t>
            </w:r>
          </w:p>
        </w:tc>
      </w:tr>
      <w:tr>
        <w:trPr>
          <w:trHeight w:val="300"/>
          <w:jc w:val="center"/>
        </w:trPr>
        <w:tc>
          <w:tcPr>
            <w:tcW w:w="3415" w:type="dxa"/>
            <w:tcBorders>
              <w:top w:val="single" w:sz="4" w:space="0" w:color="auto"/>
              <w:left w:val="single" w:sz="4" w:space="0" w:color="auto"/>
              <w:bottom w:val="single" w:sz="4" w:space="0" w:color="auto"/>
              <w:right w:val="single" w:sz="4" w:space="0" w:color="auto"/>
            </w:tcBorders>
            <w:noWrap/>
            <w:vAlign w:val="center"/>
            <w:hideMark/>
          </w:tcPr>
          <w:p>
            <w:pPr>
              <w:rPr>
                <w:rFonts w:cs="Calibri"/>
                <w:color w:val="000000"/>
              </w:rPr>
            </w:pPr>
            <w:r>
              <w:rPr>
                <w:rFonts w:cs="Calibri"/>
                <w:color w:val="000000"/>
              </w:rPr>
              <w:t xml:space="preserve">Capacité de la STEU EH charge hydraulique </w:t>
            </w:r>
          </w:p>
        </w:tc>
        <w:tc>
          <w:tcPr>
            <w:tcW w:w="1134" w:type="dxa"/>
            <w:tcBorders>
              <w:top w:val="single" w:sz="4" w:space="0" w:color="auto"/>
              <w:left w:val="nil"/>
              <w:bottom w:val="single" w:sz="4" w:space="0" w:color="auto"/>
              <w:right w:val="single" w:sz="4" w:space="0" w:color="auto"/>
            </w:tcBorders>
            <w:noWrap/>
            <w:vAlign w:val="center"/>
            <w:hideMark/>
          </w:tcPr>
          <w:p>
            <w:pPr>
              <w:jc w:val="center"/>
              <w:rPr>
                <w:rFonts w:cs="Calibri"/>
                <w:color w:val="000000"/>
              </w:rPr>
            </w:pPr>
            <w:r>
              <w:rPr>
                <w:rFonts w:cs="Calibri"/>
                <w:color w:val="000000"/>
              </w:rPr>
              <w:t>10 900</w:t>
            </w:r>
          </w:p>
        </w:tc>
        <w:tc>
          <w:tcPr>
            <w:tcW w:w="1985" w:type="dxa"/>
            <w:tcBorders>
              <w:top w:val="single" w:sz="4" w:space="0" w:color="auto"/>
              <w:left w:val="nil"/>
              <w:bottom w:val="single" w:sz="4" w:space="0" w:color="auto"/>
              <w:right w:val="single" w:sz="4" w:space="0" w:color="auto"/>
            </w:tcBorders>
            <w:noWrap/>
            <w:vAlign w:val="center"/>
            <w:hideMark/>
          </w:tcPr>
          <w:p>
            <w:pPr>
              <w:jc w:val="center"/>
              <w:rPr>
                <w:rFonts w:cs="Calibri"/>
                <w:color w:val="000000"/>
              </w:rPr>
            </w:pPr>
            <w:r>
              <w:rPr>
                <w:rFonts w:cs="Calibri"/>
                <w:color w:val="000000"/>
              </w:rPr>
              <w:t>9 280</w:t>
            </w:r>
          </w:p>
        </w:tc>
        <w:tc>
          <w:tcPr>
            <w:tcW w:w="2126" w:type="dxa"/>
            <w:tcBorders>
              <w:top w:val="single" w:sz="4" w:space="0" w:color="auto"/>
              <w:left w:val="nil"/>
              <w:bottom w:val="single" w:sz="4" w:space="0" w:color="auto"/>
              <w:right w:val="single" w:sz="4" w:space="0" w:color="auto"/>
            </w:tcBorders>
            <w:noWrap/>
            <w:vAlign w:val="center"/>
            <w:hideMark/>
          </w:tcPr>
          <w:p>
            <w:pPr>
              <w:jc w:val="center"/>
              <w:rPr>
                <w:rFonts w:cs="Calibri"/>
                <w:color w:val="000000"/>
              </w:rPr>
            </w:pPr>
            <w:r>
              <w:rPr>
                <w:rFonts w:cs="Calibri"/>
                <w:color w:val="000000"/>
              </w:rPr>
              <w:t>10 133</w:t>
            </w:r>
          </w:p>
        </w:tc>
      </w:tr>
      <w:tr>
        <w:trPr>
          <w:trHeight w:val="300"/>
          <w:jc w:val="center"/>
        </w:trPr>
        <w:tc>
          <w:tcPr>
            <w:tcW w:w="3415" w:type="dxa"/>
            <w:tcBorders>
              <w:top w:val="nil"/>
              <w:left w:val="single" w:sz="4" w:space="0" w:color="auto"/>
              <w:bottom w:val="single" w:sz="4" w:space="0" w:color="auto"/>
              <w:right w:val="single" w:sz="4" w:space="0" w:color="auto"/>
            </w:tcBorders>
            <w:noWrap/>
            <w:vAlign w:val="center"/>
            <w:hideMark/>
          </w:tcPr>
          <w:p>
            <w:pPr>
              <w:rPr>
                <w:rFonts w:cs="Calibri"/>
                <w:color w:val="000000"/>
              </w:rPr>
            </w:pPr>
            <w:r>
              <w:rPr>
                <w:rFonts w:cs="Calibri"/>
                <w:color w:val="000000"/>
              </w:rPr>
              <w:t>Capacité de la STEU EH charge polluante</w:t>
            </w:r>
          </w:p>
        </w:tc>
        <w:tc>
          <w:tcPr>
            <w:tcW w:w="1134" w:type="dxa"/>
            <w:tcBorders>
              <w:top w:val="nil"/>
              <w:left w:val="single" w:sz="4" w:space="0" w:color="auto"/>
              <w:bottom w:val="single" w:sz="4" w:space="0" w:color="auto"/>
              <w:right w:val="single" w:sz="4" w:space="0" w:color="auto"/>
            </w:tcBorders>
            <w:noWrap/>
            <w:vAlign w:val="center"/>
            <w:hideMark/>
          </w:tcPr>
          <w:p>
            <w:pPr>
              <w:jc w:val="center"/>
              <w:rPr>
                <w:rFonts w:cs="Calibri"/>
                <w:color w:val="000000"/>
              </w:rPr>
            </w:pPr>
            <w:r>
              <w:rPr>
                <w:rFonts w:cs="Calibri"/>
                <w:color w:val="000000"/>
              </w:rPr>
              <w:t>7 467</w:t>
            </w:r>
          </w:p>
        </w:tc>
        <w:tc>
          <w:tcPr>
            <w:tcW w:w="1985" w:type="dxa"/>
            <w:tcBorders>
              <w:top w:val="nil"/>
              <w:left w:val="single" w:sz="4" w:space="0" w:color="auto"/>
              <w:bottom w:val="single" w:sz="4" w:space="0" w:color="auto"/>
              <w:right w:val="single" w:sz="4" w:space="0" w:color="auto"/>
            </w:tcBorders>
            <w:noWrap/>
            <w:vAlign w:val="center"/>
            <w:hideMark/>
          </w:tcPr>
          <w:p>
            <w:pPr>
              <w:jc w:val="center"/>
              <w:rPr>
                <w:rFonts w:cs="Calibri"/>
                <w:color w:val="000000"/>
              </w:rPr>
            </w:pPr>
            <w:r>
              <w:rPr>
                <w:rFonts w:cs="Calibri"/>
                <w:color w:val="000000"/>
              </w:rPr>
              <w:t>7 467</w:t>
            </w:r>
          </w:p>
        </w:tc>
        <w:tc>
          <w:tcPr>
            <w:tcW w:w="2126" w:type="dxa"/>
            <w:tcBorders>
              <w:top w:val="nil"/>
              <w:left w:val="single" w:sz="4" w:space="0" w:color="auto"/>
              <w:bottom w:val="single" w:sz="4" w:space="0" w:color="auto"/>
              <w:right w:val="single" w:sz="4" w:space="0" w:color="auto"/>
            </w:tcBorders>
            <w:noWrap/>
            <w:vAlign w:val="center"/>
            <w:hideMark/>
          </w:tcPr>
          <w:p>
            <w:pPr>
              <w:jc w:val="center"/>
              <w:rPr>
                <w:rFonts w:cs="Calibri"/>
                <w:color w:val="000000"/>
              </w:rPr>
            </w:pPr>
            <w:r>
              <w:rPr>
                <w:rFonts w:cs="Calibri"/>
                <w:color w:val="000000"/>
              </w:rPr>
              <w:t>8 609</w:t>
            </w:r>
          </w:p>
        </w:tc>
      </w:tr>
      <w:tr>
        <w:trPr>
          <w:trHeight w:val="300"/>
          <w:jc w:val="center"/>
        </w:trPr>
        <w:tc>
          <w:tcPr>
            <w:tcW w:w="3415" w:type="dxa"/>
            <w:tcBorders>
              <w:top w:val="nil"/>
              <w:left w:val="single" w:sz="4" w:space="0" w:color="auto"/>
              <w:bottom w:val="single" w:sz="4" w:space="0" w:color="auto"/>
              <w:right w:val="single" w:sz="4" w:space="0" w:color="auto"/>
            </w:tcBorders>
            <w:noWrap/>
            <w:vAlign w:val="center"/>
            <w:hideMark/>
          </w:tcPr>
          <w:p>
            <w:pPr>
              <w:rPr>
                <w:rFonts w:cs="Calibri"/>
                <w:color w:val="000000"/>
              </w:rPr>
            </w:pPr>
            <w:r>
              <w:rPr>
                <w:rFonts w:cs="Calibri"/>
                <w:color w:val="000000"/>
              </w:rPr>
              <w:t>Débit journalier m</w:t>
            </w:r>
            <w:r>
              <w:rPr>
                <w:rFonts w:cs="Calibri"/>
                <w:color w:val="000000"/>
                <w:vertAlign w:val="superscript"/>
              </w:rPr>
              <w:t>3</w:t>
            </w:r>
            <w:r>
              <w:rPr>
                <w:rFonts w:cs="Calibri"/>
                <w:color w:val="000000"/>
              </w:rPr>
              <w:t>/j (percentile 95)</w:t>
            </w:r>
          </w:p>
        </w:tc>
        <w:tc>
          <w:tcPr>
            <w:tcW w:w="1134" w:type="dxa"/>
            <w:tcBorders>
              <w:top w:val="nil"/>
              <w:left w:val="single" w:sz="4" w:space="0" w:color="auto"/>
              <w:bottom w:val="single" w:sz="4" w:space="0" w:color="auto"/>
              <w:right w:val="single" w:sz="4" w:space="0" w:color="auto"/>
            </w:tcBorders>
            <w:noWrap/>
            <w:vAlign w:val="center"/>
            <w:hideMark/>
          </w:tcPr>
          <w:p>
            <w:pPr>
              <w:jc w:val="center"/>
              <w:rPr>
                <w:rFonts w:cs="Calibri"/>
                <w:color w:val="000000"/>
              </w:rPr>
            </w:pPr>
            <w:r>
              <w:rPr>
                <w:rFonts w:cs="Calibri"/>
                <w:color w:val="000000"/>
              </w:rPr>
              <w:t>1 635</w:t>
            </w:r>
          </w:p>
        </w:tc>
        <w:tc>
          <w:tcPr>
            <w:tcW w:w="1985" w:type="dxa"/>
            <w:tcBorders>
              <w:top w:val="nil"/>
              <w:left w:val="single" w:sz="4" w:space="0" w:color="auto"/>
              <w:bottom w:val="single" w:sz="4" w:space="0" w:color="auto"/>
              <w:right w:val="single" w:sz="4" w:space="0" w:color="auto"/>
            </w:tcBorders>
            <w:noWrap/>
            <w:vAlign w:val="center"/>
            <w:hideMark/>
          </w:tcPr>
          <w:p>
            <w:pPr>
              <w:jc w:val="center"/>
              <w:rPr>
                <w:rFonts w:cs="Calibri"/>
                <w:color w:val="000000"/>
              </w:rPr>
            </w:pPr>
            <w:r>
              <w:rPr>
                <w:rFonts w:cs="Calibri"/>
                <w:color w:val="000000"/>
              </w:rPr>
              <w:t>1392</w:t>
            </w:r>
          </w:p>
        </w:tc>
        <w:tc>
          <w:tcPr>
            <w:tcW w:w="2126" w:type="dxa"/>
            <w:tcBorders>
              <w:top w:val="nil"/>
              <w:left w:val="single" w:sz="4" w:space="0" w:color="auto"/>
              <w:bottom w:val="single" w:sz="4" w:space="0" w:color="auto"/>
              <w:right w:val="single" w:sz="4" w:space="0" w:color="auto"/>
            </w:tcBorders>
            <w:noWrap/>
            <w:vAlign w:val="center"/>
            <w:hideMark/>
          </w:tcPr>
          <w:p>
            <w:pPr>
              <w:jc w:val="center"/>
              <w:rPr>
                <w:rFonts w:cs="Calibri"/>
                <w:color w:val="000000"/>
              </w:rPr>
            </w:pPr>
            <w:r>
              <w:rPr>
                <w:rFonts w:cs="Calibri"/>
                <w:color w:val="000000"/>
              </w:rPr>
              <w:t>1520</w:t>
            </w:r>
          </w:p>
        </w:tc>
      </w:tr>
      <w:tr>
        <w:trPr>
          <w:trHeight w:val="300"/>
          <w:jc w:val="center"/>
        </w:trPr>
        <w:tc>
          <w:tcPr>
            <w:tcW w:w="3415" w:type="dxa"/>
            <w:tcBorders>
              <w:top w:val="nil"/>
              <w:left w:val="single" w:sz="4" w:space="0" w:color="auto"/>
              <w:bottom w:val="single" w:sz="4" w:space="0" w:color="auto"/>
              <w:right w:val="single" w:sz="4" w:space="0" w:color="auto"/>
            </w:tcBorders>
            <w:noWrap/>
            <w:vAlign w:val="center"/>
            <w:hideMark/>
          </w:tcPr>
          <w:p>
            <w:pPr>
              <w:rPr>
                <w:rFonts w:cs="Calibri"/>
                <w:color w:val="000000"/>
              </w:rPr>
            </w:pPr>
            <w:r>
              <w:rPr>
                <w:rFonts w:cs="Calibri"/>
                <w:color w:val="000000"/>
              </w:rPr>
              <w:t>Débit moyen horaire (m</w:t>
            </w:r>
            <w:r>
              <w:rPr>
                <w:rFonts w:cs="Calibri"/>
                <w:color w:val="000000"/>
                <w:vertAlign w:val="superscript"/>
              </w:rPr>
              <w:t>3</w:t>
            </w:r>
            <w:r>
              <w:rPr>
                <w:rFonts w:cs="Calibri"/>
                <w:color w:val="000000"/>
              </w:rPr>
              <w:t>/h)</w:t>
            </w:r>
          </w:p>
        </w:tc>
        <w:tc>
          <w:tcPr>
            <w:tcW w:w="1134" w:type="dxa"/>
            <w:tcBorders>
              <w:top w:val="nil"/>
              <w:left w:val="nil"/>
              <w:bottom w:val="single" w:sz="4" w:space="0" w:color="auto"/>
              <w:right w:val="single" w:sz="4" w:space="0" w:color="auto"/>
            </w:tcBorders>
            <w:noWrap/>
            <w:vAlign w:val="center"/>
            <w:hideMark/>
          </w:tcPr>
          <w:p>
            <w:pPr>
              <w:jc w:val="center"/>
              <w:rPr>
                <w:rFonts w:cs="Calibri"/>
                <w:color w:val="000000"/>
              </w:rPr>
            </w:pPr>
            <w:r>
              <w:rPr>
                <w:rFonts w:cs="Calibri"/>
                <w:color w:val="000000"/>
              </w:rPr>
              <w:t>68</w:t>
            </w:r>
          </w:p>
        </w:tc>
        <w:tc>
          <w:tcPr>
            <w:tcW w:w="1985" w:type="dxa"/>
            <w:tcBorders>
              <w:top w:val="nil"/>
              <w:left w:val="nil"/>
              <w:bottom w:val="single" w:sz="4" w:space="0" w:color="auto"/>
              <w:right w:val="single" w:sz="4" w:space="0" w:color="auto"/>
            </w:tcBorders>
            <w:noWrap/>
            <w:vAlign w:val="center"/>
            <w:hideMark/>
          </w:tcPr>
          <w:p>
            <w:pPr>
              <w:jc w:val="center"/>
              <w:rPr>
                <w:rFonts w:cs="Calibri"/>
                <w:color w:val="000000"/>
              </w:rPr>
            </w:pPr>
            <w:r>
              <w:rPr>
                <w:rFonts w:cs="Calibri"/>
                <w:color w:val="000000"/>
              </w:rPr>
              <w:t>58</w:t>
            </w:r>
          </w:p>
        </w:tc>
        <w:tc>
          <w:tcPr>
            <w:tcW w:w="2126" w:type="dxa"/>
            <w:tcBorders>
              <w:top w:val="nil"/>
              <w:left w:val="nil"/>
              <w:bottom w:val="single" w:sz="4" w:space="0" w:color="auto"/>
              <w:right w:val="single" w:sz="4" w:space="0" w:color="auto"/>
            </w:tcBorders>
            <w:noWrap/>
            <w:vAlign w:val="center"/>
            <w:hideMark/>
          </w:tcPr>
          <w:p>
            <w:pPr>
              <w:jc w:val="center"/>
              <w:rPr>
                <w:rFonts w:cs="Calibri"/>
                <w:color w:val="000000"/>
              </w:rPr>
            </w:pPr>
            <w:r>
              <w:rPr>
                <w:rFonts w:cs="Calibri"/>
                <w:color w:val="000000"/>
              </w:rPr>
              <w:t>63</w:t>
            </w:r>
          </w:p>
        </w:tc>
      </w:tr>
      <w:tr>
        <w:trPr>
          <w:trHeight w:val="300"/>
          <w:jc w:val="center"/>
        </w:trPr>
        <w:tc>
          <w:tcPr>
            <w:tcW w:w="3415" w:type="dxa"/>
            <w:tcBorders>
              <w:top w:val="nil"/>
              <w:left w:val="single" w:sz="4" w:space="0" w:color="auto"/>
              <w:bottom w:val="single" w:sz="4" w:space="0" w:color="auto"/>
              <w:right w:val="single" w:sz="4" w:space="0" w:color="auto"/>
            </w:tcBorders>
            <w:noWrap/>
            <w:vAlign w:val="center"/>
            <w:hideMark/>
          </w:tcPr>
          <w:p>
            <w:pPr>
              <w:rPr>
                <w:rFonts w:cs="Calibri"/>
                <w:color w:val="000000"/>
              </w:rPr>
            </w:pPr>
            <w:r>
              <w:rPr>
                <w:rFonts w:cs="Calibri"/>
                <w:color w:val="000000"/>
              </w:rPr>
              <w:t>Débit de pointe horaire (m</w:t>
            </w:r>
            <w:r>
              <w:rPr>
                <w:rFonts w:cs="Calibri"/>
                <w:color w:val="000000"/>
                <w:vertAlign w:val="superscript"/>
              </w:rPr>
              <w:t>3</w:t>
            </w:r>
            <w:r>
              <w:rPr>
                <w:rFonts w:cs="Calibri"/>
                <w:color w:val="000000"/>
              </w:rPr>
              <w:t>/h)</w:t>
            </w:r>
          </w:p>
        </w:tc>
        <w:tc>
          <w:tcPr>
            <w:tcW w:w="1134" w:type="dxa"/>
            <w:tcBorders>
              <w:top w:val="nil"/>
              <w:left w:val="nil"/>
              <w:bottom w:val="single" w:sz="4" w:space="0" w:color="auto"/>
              <w:right w:val="single" w:sz="4" w:space="0" w:color="auto"/>
            </w:tcBorders>
            <w:noWrap/>
            <w:vAlign w:val="center"/>
            <w:hideMark/>
          </w:tcPr>
          <w:p>
            <w:pPr>
              <w:jc w:val="center"/>
              <w:rPr>
                <w:rFonts w:cs="Calibri"/>
                <w:color w:val="000000"/>
              </w:rPr>
            </w:pPr>
            <w:r>
              <w:rPr>
                <w:rFonts w:cs="Calibri"/>
                <w:color w:val="000000"/>
              </w:rPr>
              <w:t>122</w:t>
            </w:r>
          </w:p>
        </w:tc>
        <w:tc>
          <w:tcPr>
            <w:tcW w:w="1985" w:type="dxa"/>
            <w:tcBorders>
              <w:top w:val="nil"/>
              <w:left w:val="nil"/>
              <w:bottom w:val="single" w:sz="4" w:space="0" w:color="auto"/>
              <w:right w:val="single" w:sz="4" w:space="0" w:color="auto"/>
            </w:tcBorders>
            <w:noWrap/>
            <w:vAlign w:val="center"/>
            <w:hideMark/>
          </w:tcPr>
          <w:p>
            <w:pPr>
              <w:jc w:val="center"/>
              <w:rPr>
                <w:rFonts w:cs="Calibri"/>
                <w:color w:val="000000"/>
              </w:rPr>
            </w:pPr>
            <w:r>
              <w:rPr>
                <w:rFonts w:cs="Calibri"/>
                <w:color w:val="000000"/>
              </w:rPr>
              <w:t>106</w:t>
            </w:r>
          </w:p>
        </w:tc>
        <w:tc>
          <w:tcPr>
            <w:tcW w:w="2126" w:type="dxa"/>
            <w:tcBorders>
              <w:top w:val="nil"/>
              <w:left w:val="nil"/>
              <w:bottom w:val="single" w:sz="4" w:space="0" w:color="auto"/>
              <w:right w:val="single" w:sz="4" w:space="0" w:color="auto"/>
            </w:tcBorders>
            <w:noWrap/>
            <w:vAlign w:val="center"/>
            <w:hideMark/>
          </w:tcPr>
          <w:p>
            <w:pPr>
              <w:jc w:val="center"/>
              <w:rPr>
                <w:rFonts w:cs="Calibri"/>
                <w:color w:val="000000"/>
              </w:rPr>
            </w:pPr>
            <w:r>
              <w:rPr>
                <w:rFonts w:cs="Calibri"/>
                <w:color w:val="000000"/>
              </w:rPr>
              <w:t>114</w:t>
            </w:r>
          </w:p>
        </w:tc>
      </w:tr>
      <w:tr>
        <w:trPr>
          <w:trHeight w:val="300"/>
          <w:jc w:val="center"/>
        </w:trPr>
        <w:tc>
          <w:tcPr>
            <w:tcW w:w="3415" w:type="dxa"/>
            <w:tcBorders>
              <w:top w:val="nil"/>
              <w:left w:val="single" w:sz="4" w:space="0" w:color="auto"/>
              <w:bottom w:val="single" w:sz="4" w:space="0" w:color="auto"/>
              <w:right w:val="single" w:sz="4" w:space="0" w:color="auto"/>
            </w:tcBorders>
            <w:noWrap/>
            <w:vAlign w:val="center"/>
            <w:hideMark/>
          </w:tcPr>
          <w:p>
            <w:pPr>
              <w:rPr>
                <w:rFonts w:cs="Calibri"/>
                <w:color w:val="000000"/>
              </w:rPr>
            </w:pPr>
            <w:r>
              <w:rPr>
                <w:rFonts w:cs="Calibri"/>
                <w:color w:val="000000"/>
              </w:rPr>
              <w:t>Charge polluante (kg/DBO</w:t>
            </w:r>
            <w:r>
              <w:rPr>
                <w:rFonts w:cs="Calibri"/>
                <w:color w:val="000000"/>
                <w:vertAlign w:val="subscript"/>
              </w:rPr>
              <w:t>5</w:t>
            </w:r>
            <w:r>
              <w:rPr>
                <w:rFonts w:cs="Calibri"/>
                <w:color w:val="000000"/>
              </w:rPr>
              <w:t>/j)</w:t>
            </w:r>
          </w:p>
        </w:tc>
        <w:tc>
          <w:tcPr>
            <w:tcW w:w="1134" w:type="dxa"/>
            <w:tcBorders>
              <w:top w:val="nil"/>
              <w:left w:val="nil"/>
              <w:bottom w:val="single" w:sz="4" w:space="0" w:color="auto"/>
              <w:right w:val="single" w:sz="4" w:space="0" w:color="auto"/>
            </w:tcBorders>
            <w:noWrap/>
            <w:vAlign w:val="center"/>
            <w:hideMark/>
          </w:tcPr>
          <w:p>
            <w:pPr>
              <w:jc w:val="center"/>
              <w:rPr>
                <w:rFonts w:cs="Calibri"/>
                <w:color w:val="000000"/>
              </w:rPr>
            </w:pPr>
            <w:r>
              <w:rPr>
                <w:rFonts w:cs="Calibri"/>
                <w:color w:val="000000"/>
              </w:rPr>
              <w:t>448</w:t>
            </w:r>
          </w:p>
        </w:tc>
        <w:tc>
          <w:tcPr>
            <w:tcW w:w="1985" w:type="dxa"/>
            <w:tcBorders>
              <w:top w:val="nil"/>
              <w:left w:val="nil"/>
              <w:bottom w:val="single" w:sz="4" w:space="0" w:color="auto"/>
              <w:right w:val="single" w:sz="4" w:space="0" w:color="auto"/>
            </w:tcBorders>
            <w:noWrap/>
            <w:vAlign w:val="center"/>
            <w:hideMark/>
          </w:tcPr>
          <w:p>
            <w:pPr>
              <w:jc w:val="center"/>
              <w:rPr>
                <w:rFonts w:cs="Calibri"/>
                <w:color w:val="000000"/>
              </w:rPr>
            </w:pPr>
            <w:r>
              <w:rPr>
                <w:rFonts w:cs="Calibri"/>
                <w:color w:val="000000"/>
              </w:rPr>
              <w:t>448</w:t>
            </w:r>
          </w:p>
        </w:tc>
        <w:tc>
          <w:tcPr>
            <w:tcW w:w="2126" w:type="dxa"/>
            <w:tcBorders>
              <w:top w:val="nil"/>
              <w:left w:val="nil"/>
              <w:bottom w:val="single" w:sz="4" w:space="0" w:color="auto"/>
              <w:right w:val="single" w:sz="4" w:space="0" w:color="auto"/>
            </w:tcBorders>
            <w:noWrap/>
            <w:vAlign w:val="center"/>
            <w:hideMark/>
          </w:tcPr>
          <w:p>
            <w:pPr>
              <w:jc w:val="center"/>
              <w:rPr>
                <w:rFonts w:cs="Calibri"/>
                <w:color w:val="000000"/>
              </w:rPr>
            </w:pPr>
            <w:r>
              <w:rPr>
                <w:rFonts w:cs="Calibri"/>
                <w:color w:val="000000"/>
              </w:rPr>
              <w:t>517</w:t>
            </w:r>
          </w:p>
        </w:tc>
      </w:tr>
    </w:tbl>
    <w:p>
      <w:pPr>
        <w:pStyle w:val="Lgende"/>
        <w:rPr>
          <w:szCs w:val="20"/>
        </w:rPr>
      </w:pPr>
      <w:r>
        <w:rPr>
          <w:szCs w:val="20"/>
        </w:rPr>
        <w:t xml:space="preserve">          Conclusion sur la situation future avec prise en compte des eaux usées transférées vers Marguerittes</w:t>
      </w:r>
    </w:p>
    <w:p>
      <w:pPr>
        <w:spacing w:before="0"/>
        <w:jc w:val="left"/>
        <w:rPr>
          <w:b/>
          <w:smallCaps/>
          <w:color w:val="333333"/>
          <w:kern w:val="28"/>
          <w:sz w:val="48"/>
        </w:rPr>
      </w:pPr>
      <w:bookmarkStart w:id="51" w:name="_Toc46480276"/>
      <w:r>
        <w:br w:type="page"/>
      </w:r>
    </w:p>
    <w:p>
      <w:pPr>
        <w:pStyle w:val="Titre1"/>
        <w:pBdr>
          <w:bottom w:val="single" w:sz="12" w:space="4" w:color="0070C0"/>
        </w:pBdr>
      </w:pPr>
      <w:bookmarkStart w:id="52" w:name="_Toc92700765"/>
      <w:r>
        <w:lastRenderedPageBreak/>
        <w:t>Programme de travaux</w:t>
      </w:r>
      <w:bookmarkEnd w:id="51"/>
      <w:bookmarkEnd w:id="52"/>
    </w:p>
    <w:p>
      <w:pPr>
        <w:pStyle w:val="Titre2"/>
      </w:pPr>
      <w:bookmarkStart w:id="53" w:name="_Toc46480277"/>
      <w:bookmarkStart w:id="54" w:name="_Toc92700766"/>
      <w:r>
        <w:t>Structure du programme de travaux</w:t>
      </w:r>
      <w:bookmarkEnd w:id="53"/>
      <w:bookmarkEnd w:id="54"/>
    </w:p>
    <w:p>
      <w:r>
        <w:t xml:space="preserve">Le programme de travaux est établi sous la forme d’un ensemble de propositions d’actions en réponse aux problématiques rappelées dans la synthèse du chapitre précédent. Pour chaque action, il est présenté : </w:t>
      </w:r>
    </w:p>
    <w:p>
      <w:pPr>
        <w:pStyle w:val="Retrait20"/>
        <w:tabs>
          <w:tab w:val="clear" w:pos="928"/>
          <w:tab w:val="num" w:pos="1324"/>
        </w:tabs>
        <w:ind w:left="1304"/>
      </w:pPr>
      <w:r>
        <w:t>Un état des lieux succinct ;</w:t>
      </w:r>
    </w:p>
    <w:p>
      <w:pPr>
        <w:pStyle w:val="Retrait20"/>
        <w:tabs>
          <w:tab w:val="clear" w:pos="928"/>
          <w:tab w:val="num" w:pos="1324"/>
        </w:tabs>
        <w:ind w:left="1304"/>
      </w:pPr>
      <w:r>
        <w:t>L’objectif de l’action ;</w:t>
      </w:r>
    </w:p>
    <w:p>
      <w:pPr>
        <w:pStyle w:val="Retrait20"/>
        <w:tabs>
          <w:tab w:val="clear" w:pos="928"/>
          <w:tab w:val="num" w:pos="1324"/>
        </w:tabs>
        <w:ind w:left="1304"/>
      </w:pPr>
      <w:proofErr w:type="gramStart"/>
      <w:r>
        <w:t>La ou les technique(s</w:t>
      </w:r>
      <w:proofErr w:type="gramEnd"/>
      <w:r>
        <w:t>) mises en œuvre (réhabilitation, extension, renouvellement) si cela s’avère pertinent;</w:t>
      </w:r>
    </w:p>
    <w:p>
      <w:pPr>
        <w:pStyle w:val="Retrait20"/>
        <w:tabs>
          <w:tab w:val="clear" w:pos="928"/>
          <w:tab w:val="num" w:pos="1324"/>
        </w:tabs>
        <w:ind w:left="1304"/>
      </w:pPr>
      <w:r>
        <w:t>Des indicateurs d’efficacité s’ils sont calculables ;</w:t>
      </w:r>
    </w:p>
    <w:p>
      <w:pPr>
        <w:pStyle w:val="Retrait20"/>
        <w:tabs>
          <w:tab w:val="clear" w:pos="928"/>
          <w:tab w:val="num" w:pos="1324"/>
        </w:tabs>
        <w:ind w:left="1304"/>
      </w:pPr>
      <w:r>
        <w:t>Une estimation financière du cout des travaux ;</w:t>
      </w:r>
    </w:p>
    <w:p>
      <w:pPr>
        <w:pStyle w:val="Retrait20"/>
        <w:tabs>
          <w:tab w:val="clear" w:pos="928"/>
          <w:tab w:val="num" w:pos="1324"/>
        </w:tabs>
        <w:ind w:left="1304"/>
      </w:pPr>
      <w:r>
        <w:t>Une proposition de priorisation technique.</w:t>
      </w:r>
    </w:p>
    <w:p>
      <w:r>
        <w:t>Le programme d’actions s’articule autour des thématiques suivantes :</w:t>
      </w:r>
    </w:p>
    <w:p>
      <w:pPr>
        <w:pStyle w:val="Retrait1"/>
        <w:tabs>
          <w:tab w:val="clear" w:pos="927"/>
        </w:tabs>
        <w:ind w:left="700" w:hanging="360"/>
      </w:pPr>
      <w:r>
        <w:t>Thématique 1 : Suppression des eaux claires parasites de temps de pluie</w:t>
      </w:r>
    </w:p>
    <w:p>
      <w:pPr>
        <w:pStyle w:val="Retrait20"/>
        <w:tabs>
          <w:tab w:val="clear" w:pos="928"/>
          <w:tab w:val="num" w:pos="1324"/>
        </w:tabs>
        <w:ind w:left="1304"/>
      </w:pPr>
      <w:r>
        <w:t>Action n°1 : Déconnexion et suppression des surfaces actives raccordées au système de collecte ;</w:t>
      </w:r>
    </w:p>
    <w:p>
      <w:pPr>
        <w:pStyle w:val="Retrait20"/>
        <w:tabs>
          <w:tab w:val="clear" w:pos="928"/>
          <w:tab w:val="num" w:pos="1324"/>
        </w:tabs>
        <w:ind w:left="1304"/>
      </w:pPr>
      <w:r>
        <w:t>Action n°2 : Réhabilitation des tampons regards de visite ou de branchements responsables d'apports d'eaux claires parasites ;</w:t>
      </w:r>
    </w:p>
    <w:p>
      <w:pPr>
        <w:pStyle w:val="Retrait20"/>
        <w:tabs>
          <w:tab w:val="clear" w:pos="928"/>
          <w:tab w:val="num" w:pos="1324"/>
        </w:tabs>
        <w:ind w:left="1304"/>
      </w:pPr>
      <w:r>
        <w:t>Action n°3 : Réalisation d’un programme de contrôle des branchements particuliers dont les anomalies n’ont pu être constatées lors des tests à la fumée ;</w:t>
      </w:r>
    </w:p>
    <w:p>
      <w:pPr>
        <w:pStyle w:val="Retrait1"/>
        <w:tabs>
          <w:tab w:val="clear" w:pos="927"/>
        </w:tabs>
        <w:ind w:left="700" w:hanging="360"/>
      </w:pPr>
      <w:r>
        <w:t>Thématique 2 : Suppression des eaux claires parasites de temps sec et/ou ressuyage</w:t>
      </w:r>
    </w:p>
    <w:p>
      <w:pPr>
        <w:pStyle w:val="Retrait20"/>
        <w:tabs>
          <w:tab w:val="clear" w:pos="928"/>
          <w:tab w:val="num" w:pos="1324"/>
        </w:tabs>
        <w:ind w:left="1304"/>
      </w:pPr>
      <w:r>
        <w:t>Action n°4 : Réhabilitation ou renouvellement des tronçons responsables d'apports d'eaux claires parasites</w:t>
      </w:r>
    </w:p>
    <w:p>
      <w:pPr>
        <w:pStyle w:val="Retrait1"/>
        <w:tabs>
          <w:tab w:val="clear" w:pos="927"/>
        </w:tabs>
        <w:ind w:left="700" w:hanging="360"/>
      </w:pPr>
      <w:r>
        <w:t>Thématique 3 : Réhabilitation des réseaux et regards de visite</w:t>
      </w:r>
    </w:p>
    <w:p>
      <w:pPr>
        <w:pStyle w:val="Retrait20"/>
        <w:tabs>
          <w:tab w:val="clear" w:pos="928"/>
          <w:tab w:val="num" w:pos="1324"/>
        </w:tabs>
        <w:ind w:left="1304"/>
      </w:pPr>
      <w:r>
        <w:t>Action n°5 : Réhabilitation ponctuelle des réseaux pouvant être sensibles aux intrusions d’eaux claires parasites ;</w:t>
      </w:r>
    </w:p>
    <w:p>
      <w:pPr>
        <w:pStyle w:val="Retrait20"/>
        <w:tabs>
          <w:tab w:val="clear" w:pos="928"/>
          <w:tab w:val="num" w:pos="1324"/>
        </w:tabs>
        <w:ind w:left="1304"/>
      </w:pPr>
      <w:r>
        <w:t>Action n°6 : Suppression des branchements pénétrants ;</w:t>
      </w:r>
    </w:p>
    <w:p>
      <w:pPr>
        <w:pStyle w:val="Retrait20"/>
        <w:tabs>
          <w:tab w:val="clear" w:pos="928"/>
          <w:tab w:val="num" w:pos="1324"/>
        </w:tabs>
        <w:ind w:left="1304"/>
      </w:pPr>
      <w:r>
        <w:t>Action n°7 : Réhabilitation des regards de visite vétustes non étanches et/ou présentant des anomalies structurelles ;</w:t>
      </w:r>
    </w:p>
    <w:p>
      <w:pPr>
        <w:pStyle w:val="Retrait1"/>
        <w:tabs>
          <w:tab w:val="clear" w:pos="927"/>
        </w:tabs>
        <w:ind w:left="700" w:hanging="360"/>
      </w:pPr>
      <w:r>
        <w:t>Thématique 4 : Réhabilitation des équipements et ouvrages (conformité réglementaire, sécurité et exploitation)</w:t>
      </w:r>
    </w:p>
    <w:p>
      <w:pPr>
        <w:pStyle w:val="Retrait20"/>
        <w:tabs>
          <w:tab w:val="clear" w:pos="928"/>
          <w:tab w:val="num" w:pos="1324"/>
        </w:tabs>
        <w:ind w:left="1304"/>
      </w:pPr>
      <w:r>
        <w:t>Action n°8 : Réhabilitation des postes de relevage ;</w:t>
      </w:r>
    </w:p>
    <w:p>
      <w:pPr>
        <w:pStyle w:val="Retrait20"/>
        <w:tabs>
          <w:tab w:val="clear" w:pos="928"/>
          <w:tab w:val="num" w:pos="1324"/>
        </w:tabs>
        <w:ind w:left="1304"/>
      </w:pPr>
      <w:r>
        <w:t xml:space="preserve">Action n°9 : Réhabilitation des unités de dépollution ; </w:t>
      </w:r>
    </w:p>
    <w:p>
      <w:pPr>
        <w:pStyle w:val="Retrait1"/>
        <w:tabs>
          <w:tab w:val="clear" w:pos="927"/>
        </w:tabs>
        <w:ind w:left="700" w:hanging="360"/>
      </w:pPr>
      <w:r>
        <w:t>Thématique 5 : Modification du schéma de collecte</w:t>
      </w:r>
    </w:p>
    <w:p>
      <w:pPr>
        <w:pStyle w:val="Retrait20"/>
        <w:tabs>
          <w:tab w:val="clear" w:pos="928"/>
          <w:tab w:val="num" w:pos="1324"/>
        </w:tabs>
        <w:ind w:left="1304"/>
      </w:pPr>
      <w:r>
        <w:t>Action n°10 : Suppression des canalisations avec risques hydrauliques situées en domaine privé ;</w:t>
      </w:r>
    </w:p>
    <w:p>
      <w:pPr>
        <w:pStyle w:val="Retrait20"/>
        <w:tabs>
          <w:tab w:val="clear" w:pos="928"/>
          <w:tab w:val="num" w:pos="1324"/>
        </w:tabs>
        <w:ind w:left="1304"/>
      </w:pPr>
      <w:r>
        <w:t>Action n°11 : Raccordement de la commune de Saint-</w:t>
      </w:r>
      <w:proofErr w:type="spellStart"/>
      <w:r>
        <w:t>Gervasy</w:t>
      </w:r>
      <w:proofErr w:type="spellEnd"/>
      <w:r>
        <w:t xml:space="preserve"> sur le réseau de Marguerittes ;</w:t>
      </w:r>
    </w:p>
    <w:p>
      <w:pPr>
        <w:pStyle w:val="Retrait1"/>
        <w:tabs>
          <w:tab w:val="clear" w:pos="927"/>
        </w:tabs>
        <w:ind w:left="700" w:hanging="360"/>
      </w:pPr>
      <w:r>
        <w:t>Thématique 6 : Mise en place d'une gestion patrimoniale</w:t>
      </w:r>
    </w:p>
    <w:p>
      <w:pPr>
        <w:pStyle w:val="Retrait20"/>
        <w:tabs>
          <w:tab w:val="clear" w:pos="928"/>
          <w:tab w:val="num" w:pos="1324"/>
        </w:tabs>
        <w:ind w:left="1304"/>
      </w:pPr>
      <w:r>
        <w:t>Action n°12 : Mise en place d’un diagnostic permanent</w:t>
      </w:r>
    </w:p>
    <w:p>
      <w:pPr>
        <w:pStyle w:val="Retrait20"/>
        <w:tabs>
          <w:tab w:val="clear" w:pos="928"/>
          <w:tab w:val="num" w:pos="1324"/>
        </w:tabs>
        <w:ind w:left="1304"/>
      </w:pPr>
      <w:r>
        <w:t xml:space="preserve">Action n°13: Mise en place d’un programme annuel de contrôle de l’état du réseau et investigations </w:t>
      </w:r>
    </w:p>
    <w:p>
      <w:pPr>
        <w:pStyle w:val="Retrait20"/>
        <w:tabs>
          <w:tab w:val="clear" w:pos="928"/>
          <w:tab w:val="num" w:pos="1324"/>
        </w:tabs>
        <w:ind w:left="1304"/>
      </w:pPr>
      <w:r>
        <w:t>Action n°14 : Mise en place d'un renouvellement programmé de la collecte des eaux usées</w:t>
      </w:r>
    </w:p>
    <w:p>
      <w:pPr>
        <w:pStyle w:val="Retrait1"/>
        <w:tabs>
          <w:tab w:val="clear" w:pos="927"/>
        </w:tabs>
        <w:ind w:left="700" w:hanging="360"/>
      </w:pPr>
      <w:r>
        <w:t>Thématique 7 : Mise en adéquation du système d’assainissement avec l’évolution urbanistique de la commune</w:t>
      </w:r>
    </w:p>
    <w:p>
      <w:pPr>
        <w:pStyle w:val="Retrait20"/>
        <w:tabs>
          <w:tab w:val="clear" w:pos="928"/>
          <w:tab w:val="num" w:pos="1324"/>
        </w:tabs>
        <w:ind w:left="1304"/>
      </w:pPr>
      <w:r>
        <w:t>Action n°15 : Construction d’une deuxième file de traitement au niveau de la STEU de Marguerittes.</w:t>
      </w:r>
    </w:p>
    <w:p>
      <w:pPr>
        <w:pStyle w:val="Retrait20"/>
        <w:numPr>
          <w:ilvl w:val="0"/>
          <w:numId w:val="0"/>
        </w:numPr>
        <w:ind w:left="908" w:hanging="340"/>
      </w:pPr>
    </w:p>
    <w:p>
      <w:r>
        <w:t>Si nécessaire, les actions proposées pour chacune des thématiques peuvent être subdivisées en opérations (correspondant à différents secteurs géographiques ou actions devant être scindées dans le temps).</w:t>
      </w:r>
    </w:p>
    <w:p>
      <w:r>
        <w:t>Compte tenu du périmètre d’intervention de Nîmes Métropole et des études prévues à court terme de type diagnostic et schéma directeur d’assainissement, il n’est pas retenu d’échéancier de réalisation. La planification ne pourra être établie qu’après réalisation de l’ensemble des études prévues et la réalisation d’une prospective budgétaire à l’échelle global du périmètre de la Métropole.</w:t>
      </w:r>
    </w:p>
    <w:p>
      <w:r>
        <w:lastRenderedPageBreak/>
        <w:t>Les propositions sont hiérarchisées selon trois niveaux de priorité :</w:t>
      </w:r>
    </w:p>
    <w:p>
      <w:pPr>
        <w:pStyle w:val="Retrait20"/>
        <w:numPr>
          <w:ilvl w:val="0"/>
          <w:numId w:val="16"/>
        </w:numPr>
        <w:tabs>
          <w:tab w:val="clear" w:pos="928"/>
          <w:tab w:val="num" w:pos="1324"/>
        </w:tabs>
        <w:ind w:left="1304"/>
      </w:pPr>
      <w:r>
        <w:t>Priorité 1 (P1) : opérations urgentes permettant de résoudre un dysfonctionnement ou une anomalie ayant un impact avéré sur le système d’assainissement.</w:t>
      </w:r>
    </w:p>
    <w:p>
      <w:pPr>
        <w:pStyle w:val="Retrait20"/>
        <w:numPr>
          <w:ilvl w:val="0"/>
          <w:numId w:val="16"/>
        </w:numPr>
        <w:tabs>
          <w:tab w:val="clear" w:pos="928"/>
          <w:tab w:val="num" w:pos="1324"/>
        </w:tabs>
        <w:ind w:left="1304"/>
      </w:pPr>
      <w:r>
        <w:t xml:space="preserve">Priorité 2 (P2) : opérations non urgentes mais avec une incidence forte sur les problématiques du système d’assainissement </w:t>
      </w:r>
      <w:r>
        <w:rPr>
          <w:b/>
        </w:rPr>
        <w:t>ET</w:t>
      </w:r>
      <w:r>
        <w:t xml:space="preserve"> opérations urgentes mais sur une problématique mineure ou avec une incidence faible sur le système d’assainissement.</w:t>
      </w:r>
    </w:p>
    <w:p>
      <w:pPr>
        <w:pStyle w:val="Retrait20"/>
        <w:numPr>
          <w:ilvl w:val="0"/>
          <w:numId w:val="16"/>
        </w:numPr>
        <w:tabs>
          <w:tab w:val="clear" w:pos="928"/>
          <w:tab w:val="num" w:pos="1324"/>
        </w:tabs>
        <w:ind w:left="1304"/>
      </w:pPr>
      <w:r>
        <w:t>Priorité 3 (P3) : opérations non urgentes et sans effet notoires sur les problématiques mises en évidence.</w:t>
      </w:r>
    </w:p>
    <w:p>
      <w:pPr>
        <w:pStyle w:val="Titre2"/>
      </w:pPr>
      <w:bookmarkStart w:id="55" w:name="_Toc46480278"/>
      <w:bookmarkStart w:id="56" w:name="_Toc92700767"/>
      <w:r>
        <w:t>Thématique 1 : Suppression des eaux claires parasites de temps de pluie</w:t>
      </w:r>
      <w:bookmarkEnd w:id="55"/>
      <w:bookmarkEnd w:id="56"/>
    </w:p>
    <w:p>
      <w:pPr>
        <w:pStyle w:val="Titre3"/>
      </w:pPr>
      <w:bookmarkStart w:id="57" w:name="_Toc46480279"/>
      <w:bookmarkStart w:id="58" w:name="_Toc92700768"/>
      <w:r>
        <w:t>Action 1 : Déconnexion et suppression des surfaces actives raccordées au système de collecte</w:t>
      </w:r>
      <w:bookmarkEnd w:id="57"/>
      <w:r>
        <w:t xml:space="preserve"> – hors boite de branchement et regard</w:t>
      </w:r>
      <w:bookmarkEnd w:id="58"/>
    </w:p>
    <w:p>
      <w:pPr>
        <w:pStyle w:val="Retrait1"/>
        <w:tabs>
          <w:tab w:val="clear" w:pos="927"/>
        </w:tabs>
        <w:ind w:left="700" w:hanging="360"/>
      </w:pPr>
      <w:r>
        <w:t>Etat des lieux et objectif de l’action</w:t>
      </w:r>
    </w:p>
    <w:p>
      <w:pPr>
        <w:rPr>
          <w:lang w:eastAsia="x-none"/>
        </w:rPr>
      </w:pPr>
      <w:r>
        <w:rPr>
          <w:lang w:eastAsia="x-none"/>
        </w:rPr>
        <w:t xml:space="preserve">Le réseau d’assainissement de la commune est sensible aux intrusions d’eaux claires parasites de temps de pluie. Les tests de fumigation effectués ont localisé 217 anomalies, dont : </w:t>
      </w:r>
    </w:p>
    <w:p>
      <w:pPr>
        <w:pStyle w:val="Retrait20"/>
        <w:tabs>
          <w:tab w:val="clear" w:pos="928"/>
          <w:tab w:val="num" w:pos="1324"/>
        </w:tabs>
        <w:ind w:left="1304"/>
      </w:pPr>
      <w:r>
        <w:t>18 gouttières (anomalie en domaine privé)</w:t>
      </w:r>
    </w:p>
    <w:p>
      <w:pPr>
        <w:pStyle w:val="Retrait20"/>
        <w:tabs>
          <w:tab w:val="clear" w:pos="928"/>
          <w:tab w:val="num" w:pos="1324"/>
        </w:tabs>
        <w:ind w:left="1304"/>
      </w:pPr>
      <w:r>
        <w:t>4 avaloirs (anomalies principalement en domaine public)</w:t>
      </w:r>
    </w:p>
    <w:p>
      <w:pPr>
        <w:pStyle w:val="Retrait20"/>
        <w:tabs>
          <w:tab w:val="clear" w:pos="928"/>
          <w:tab w:val="num" w:pos="1324"/>
        </w:tabs>
        <w:ind w:left="1304"/>
      </w:pPr>
      <w:r>
        <w:t>2 trous dans la voirie (anomalies en domaine public)</w:t>
      </w:r>
    </w:p>
    <w:p>
      <w:pPr>
        <w:pStyle w:val="Retrait20"/>
        <w:tabs>
          <w:tab w:val="clear" w:pos="928"/>
          <w:tab w:val="num" w:pos="1324"/>
        </w:tabs>
        <w:ind w:left="1304"/>
      </w:pPr>
      <w:r>
        <w:t>1 bouche de lavage (anomalies en domaine privé)</w:t>
      </w:r>
    </w:p>
    <w:p>
      <w:pPr>
        <w:pStyle w:val="Retrait20"/>
        <w:tabs>
          <w:tab w:val="clear" w:pos="928"/>
          <w:tab w:val="num" w:pos="1324"/>
        </w:tabs>
        <w:ind w:left="1304"/>
      </w:pPr>
      <w:r>
        <w:t>1 bouche d’eau pluviale (anomalies en domaine public)</w:t>
      </w:r>
    </w:p>
    <w:p>
      <w:r>
        <w:t>Les fiches concernées sont les N° 5, 27, 34, 38, 39, 41, 43, 48, 53, 86, 91, 105, 109, 116, 118, 120, 126, 130, 139, 158, 160, 169 et 205 (phase 2, annexe rapport fumigation).</w:t>
      </w:r>
    </w:p>
    <w:p>
      <w:r>
        <w:t xml:space="preserve">L’action 1 a pour objectif : </w:t>
      </w:r>
    </w:p>
    <w:p>
      <w:pPr>
        <w:pStyle w:val="Retrait20"/>
        <w:tabs>
          <w:tab w:val="clear" w:pos="928"/>
          <w:tab w:val="num" w:pos="1324"/>
        </w:tabs>
        <w:ind w:left="1304"/>
      </w:pPr>
      <w:r>
        <w:t>La suppression des surfaces actives responsables d’entrée d’eaux claires parasites par temps de pluie.</w:t>
      </w:r>
    </w:p>
    <w:p>
      <w:pPr>
        <w:pStyle w:val="Retrait20"/>
        <w:tabs>
          <w:tab w:val="clear" w:pos="928"/>
          <w:tab w:val="num" w:pos="1324"/>
        </w:tabs>
        <w:ind w:left="1304"/>
      </w:pPr>
      <w:r>
        <w:t>La mise en conformité générale du réseau d’assainissement d’un point de vu réglementaire.</w:t>
      </w:r>
    </w:p>
    <w:p>
      <w:pPr>
        <w:pStyle w:val="Retrait1"/>
        <w:tabs>
          <w:tab w:val="clear" w:pos="927"/>
        </w:tabs>
        <w:ind w:left="700" w:hanging="360"/>
      </w:pPr>
      <w:r>
        <w:t>Indicateurs et ratios caractéristiques</w:t>
      </w:r>
    </w:p>
    <w:p>
      <w:pPr>
        <w:keepNext/>
        <w:jc w:val="center"/>
      </w:pPr>
      <w:r>
        <w:rPr>
          <w:noProof/>
        </w:rPr>
        <w:drawing>
          <wp:inline distT="0" distB="0" distL="0" distR="0">
            <wp:extent cx="5972810" cy="1655445"/>
            <wp:effectExtent l="19050" t="19050" r="27940" b="20955"/>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972810" cy="1655445"/>
                    </a:xfrm>
                    <a:prstGeom prst="rect">
                      <a:avLst/>
                    </a:prstGeom>
                    <a:ln>
                      <a:solidFill>
                        <a:schemeClr val="tx1"/>
                      </a:solidFill>
                    </a:ln>
                  </pic:spPr>
                </pic:pic>
              </a:graphicData>
            </a:graphic>
          </wp:inline>
        </w:drawing>
      </w:r>
      <w:r>
        <w:t xml:space="preserve">  </w:t>
      </w:r>
    </w:p>
    <w:p>
      <w:pPr>
        <w:pStyle w:val="Lgende"/>
      </w:pPr>
      <w:r>
        <w:t xml:space="preserve">  Action 1 - efficacité de l'action en terme d'élimination d'ECP</w:t>
      </w:r>
    </w:p>
    <w:p>
      <w:pPr>
        <w:spacing w:before="0"/>
        <w:jc w:val="left"/>
        <w:rPr>
          <w:rFonts w:cs="Arial"/>
          <w:b/>
        </w:rPr>
      </w:pPr>
      <w:r>
        <w:br w:type="page"/>
      </w:r>
    </w:p>
    <w:p>
      <w:pPr>
        <w:pStyle w:val="Retrait1"/>
        <w:tabs>
          <w:tab w:val="clear" w:pos="927"/>
        </w:tabs>
        <w:ind w:left="700" w:hanging="360"/>
      </w:pPr>
      <w:r>
        <w:lastRenderedPageBreak/>
        <w:t>Estimation du cout des travaux, priorités de réalisation</w:t>
      </w:r>
    </w:p>
    <w:p>
      <w:pPr>
        <w:keepNext/>
      </w:pPr>
      <w:r>
        <w:rPr>
          <w:noProof/>
        </w:rPr>
        <w:drawing>
          <wp:inline distT="0" distB="0" distL="0" distR="0">
            <wp:extent cx="5972810" cy="2294255"/>
            <wp:effectExtent l="19050" t="19050" r="27940" b="10795"/>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972810" cy="2294255"/>
                    </a:xfrm>
                    <a:prstGeom prst="rect">
                      <a:avLst/>
                    </a:prstGeom>
                    <a:ln>
                      <a:solidFill>
                        <a:schemeClr val="tx1"/>
                      </a:solidFill>
                    </a:ln>
                  </pic:spPr>
                </pic:pic>
              </a:graphicData>
            </a:graphic>
          </wp:inline>
        </w:drawing>
      </w:r>
      <w:r>
        <w:t xml:space="preserve">   </w:t>
      </w:r>
    </w:p>
    <w:p>
      <w:pPr>
        <w:pStyle w:val="Lgende"/>
      </w:pPr>
      <w:r>
        <w:t>Action 1 - estimation du coût des travaux et priorité de réalisation</w:t>
      </w:r>
    </w:p>
    <w:p>
      <w:pPr>
        <w:pStyle w:val="Titre3"/>
      </w:pPr>
      <w:bookmarkStart w:id="59" w:name="_Toc46480280"/>
      <w:bookmarkStart w:id="60" w:name="_Toc92700769"/>
      <w:r>
        <w:t>Action 2 : Réhabilitation des tampons de regards de visite ou de branchements responsables d'apports d'eaux claires parasites</w:t>
      </w:r>
      <w:bookmarkEnd w:id="59"/>
      <w:bookmarkEnd w:id="60"/>
    </w:p>
    <w:p>
      <w:pPr>
        <w:pStyle w:val="Retrait1"/>
        <w:tabs>
          <w:tab w:val="clear" w:pos="927"/>
        </w:tabs>
        <w:ind w:left="700" w:hanging="360"/>
      </w:pPr>
      <w:r>
        <w:t>Etat des lieux et objectif de l’action</w:t>
      </w:r>
    </w:p>
    <w:p>
      <w:pPr>
        <w:rPr>
          <w:lang w:eastAsia="x-none"/>
        </w:rPr>
      </w:pPr>
      <w:r>
        <w:rPr>
          <w:lang w:eastAsia="x-none"/>
        </w:rPr>
        <w:t xml:space="preserve">Un certain nombre d’anomalies sur les tampons de regard de visite et tampons de boîtes de branchement sont responsables d’apport d’eaux claires parasites par temps de pluie. L’objectif ici est de trouver une solution afin d’éviter l’entrée d’eau parasite par temps de pluie dans le réseau par l’intermédiaire des regards et tampons, que ce soit en domaine public ou privé. </w:t>
      </w:r>
    </w:p>
    <w:p>
      <w:pPr>
        <w:rPr>
          <w:lang w:eastAsia="x-none"/>
        </w:rPr>
      </w:pPr>
      <w:r>
        <w:rPr>
          <w:lang w:eastAsia="x-none"/>
        </w:rPr>
        <w:t>Parmi les 142 tampons de boites de branchement repérés lors des tests de fumigation, 35 sont corrects et ne nécessitent pas de travaux.</w:t>
      </w:r>
    </w:p>
    <w:p>
      <w:pPr>
        <w:rPr>
          <w:lang w:eastAsia="x-none"/>
        </w:rPr>
      </w:pPr>
      <w:r>
        <w:rPr>
          <w:lang w:eastAsia="x-none"/>
        </w:rPr>
        <w:t>Parmi les 27 tampons de regards repérés lors des tests de fumigation, 9 sont corrects et ne nécessitent pas de travaux.</w:t>
      </w:r>
    </w:p>
    <w:p>
      <w:r>
        <w:t>L’action 2 a pour objectif la suppression des surfaces actives responsables d’entrée d’eaux claires parasites par temps de pluie.</w:t>
      </w:r>
    </w:p>
    <w:p>
      <w:pPr>
        <w:spacing w:before="0"/>
        <w:jc w:val="left"/>
        <w:rPr>
          <w:highlight w:val="yellow"/>
        </w:rPr>
      </w:pPr>
    </w:p>
    <w:p>
      <w:pPr>
        <w:spacing w:before="0"/>
        <w:jc w:val="left"/>
      </w:pPr>
      <w:r>
        <w:t>En fonction de la surface active associée à chaque anomalie, la suppression de l’anomalie sera classée par ordre de priorité :</w:t>
      </w:r>
    </w:p>
    <w:p>
      <w:pPr>
        <w:pStyle w:val="Retrait20"/>
      </w:pPr>
      <w:r>
        <w:t>Surface active supérieure à 50m² =&gt; priorité 1</w:t>
      </w:r>
    </w:p>
    <w:p>
      <w:pPr>
        <w:pStyle w:val="Retrait20"/>
      </w:pPr>
      <w:r>
        <w:t>Surface active comprise entre 0 et 50m² =&gt; priorité 2</w:t>
      </w:r>
    </w:p>
    <w:p>
      <w:pPr>
        <w:pStyle w:val="Retrait20"/>
      </w:pPr>
      <w:r>
        <w:t>Surface active égale à 0m² =&gt; priorité 3</w:t>
      </w:r>
    </w:p>
    <w:p>
      <w:pPr>
        <w:spacing w:before="0"/>
        <w:jc w:val="left"/>
        <w:rPr>
          <w:rFonts w:cs="Arial"/>
          <w:b/>
        </w:rPr>
      </w:pPr>
      <w:r>
        <w:br w:type="page"/>
      </w:r>
    </w:p>
    <w:p>
      <w:pPr>
        <w:pStyle w:val="Retrait1"/>
        <w:tabs>
          <w:tab w:val="clear" w:pos="927"/>
        </w:tabs>
        <w:ind w:left="700" w:hanging="360"/>
      </w:pPr>
      <w:r>
        <w:lastRenderedPageBreak/>
        <w:t>Indicateurs et ratios caractéristiques</w:t>
      </w:r>
    </w:p>
    <w:p>
      <w:pPr>
        <w:keepNext/>
      </w:pPr>
      <w:r>
        <w:rPr>
          <w:noProof/>
        </w:rPr>
        <w:drawing>
          <wp:inline distT="0" distB="0" distL="0" distR="0">
            <wp:extent cx="6119495" cy="5782126"/>
            <wp:effectExtent l="19050" t="19050" r="14605" b="28575"/>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6119495" cy="5782126"/>
                    </a:xfrm>
                    <a:prstGeom prst="rect">
                      <a:avLst/>
                    </a:prstGeom>
                    <a:ln>
                      <a:solidFill>
                        <a:schemeClr val="tx1"/>
                      </a:solidFill>
                    </a:ln>
                  </pic:spPr>
                </pic:pic>
              </a:graphicData>
            </a:graphic>
          </wp:inline>
        </w:drawing>
      </w:r>
      <w:r>
        <w:t xml:space="preserve">  </w:t>
      </w:r>
    </w:p>
    <w:p>
      <w:pPr>
        <w:pStyle w:val="Lgende"/>
      </w:pPr>
      <w:bookmarkStart w:id="61" w:name="_Toc46480602"/>
      <w:r>
        <w:t>Action 2 - efficacité de l'action en terme d'élimination d'ECP</w:t>
      </w:r>
      <w:bookmarkEnd w:id="61"/>
    </w:p>
    <w:p>
      <w:pPr>
        <w:spacing w:before="0"/>
        <w:jc w:val="left"/>
        <w:rPr>
          <w:rFonts w:cs="Arial"/>
          <w:b/>
        </w:rPr>
      </w:pPr>
      <w:r>
        <w:br w:type="page"/>
      </w:r>
    </w:p>
    <w:p>
      <w:pPr>
        <w:pStyle w:val="Retrait1"/>
        <w:tabs>
          <w:tab w:val="clear" w:pos="927"/>
        </w:tabs>
        <w:ind w:left="700" w:hanging="360"/>
      </w:pPr>
      <w:r>
        <w:lastRenderedPageBreak/>
        <w:t>Estimation du cout des travaux, priorités de réalisation</w:t>
      </w:r>
    </w:p>
    <w:p>
      <w:pPr>
        <w:keepNext/>
      </w:pPr>
      <w:r>
        <w:rPr>
          <w:noProof/>
        </w:rPr>
        <w:drawing>
          <wp:inline distT="0" distB="0" distL="0" distR="0">
            <wp:extent cx="5972810" cy="7399655"/>
            <wp:effectExtent l="19050" t="19050" r="27940" b="10795"/>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972810" cy="7399655"/>
                    </a:xfrm>
                    <a:prstGeom prst="rect">
                      <a:avLst/>
                    </a:prstGeom>
                    <a:ln>
                      <a:solidFill>
                        <a:schemeClr val="tx1"/>
                      </a:solidFill>
                    </a:ln>
                  </pic:spPr>
                </pic:pic>
              </a:graphicData>
            </a:graphic>
          </wp:inline>
        </w:drawing>
      </w:r>
      <w:r>
        <w:t xml:space="preserve"> </w:t>
      </w:r>
    </w:p>
    <w:p>
      <w:pPr>
        <w:pStyle w:val="Lgende"/>
      </w:pPr>
      <w:bookmarkStart w:id="62" w:name="_Toc46480601"/>
      <w:r>
        <w:t xml:space="preserve">Action 2 - </w:t>
      </w:r>
      <w:bookmarkEnd w:id="62"/>
      <w:r>
        <w:t>estimation du coût des travaux et priorité de réalisation</w:t>
      </w:r>
    </w:p>
    <w:p>
      <w:r>
        <w:t>La Métropole doit procéder à des mises en demeures à l’attention des abonnés pour les travaux en domaine privé.</w:t>
      </w:r>
    </w:p>
    <w:p>
      <w:pPr>
        <w:spacing w:before="0"/>
        <w:jc w:val="left"/>
        <w:rPr>
          <w:b/>
          <w:iCs/>
          <w:color w:val="333333"/>
          <w:sz w:val="28"/>
        </w:rPr>
      </w:pPr>
      <w:r>
        <w:br w:type="page"/>
      </w:r>
    </w:p>
    <w:p>
      <w:pPr>
        <w:pStyle w:val="Titre3"/>
      </w:pPr>
      <w:bookmarkStart w:id="63" w:name="_Toc92700770"/>
      <w:r>
        <w:lastRenderedPageBreak/>
        <w:t>Action 3 : Réalisation d’un programme de contrôle des branchements particuliers dont les anomalies n’ont pu être constatées lors des tests à la fumée</w:t>
      </w:r>
      <w:bookmarkEnd w:id="63"/>
    </w:p>
    <w:p>
      <w:pPr>
        <w:pStyle w:val="Retrait1"/>
        <w:tabs>
          <w:tab w:val="clear" w:pos="927"/>
        </w:tabs>
        <w:ind w:left="700" w:hanging="360"/>
      </w:pPr>
      <w:r>
        <w:t>Etat des lieux et objectif de l’action</w:t>
      </w:r>
    </w:p>
    <w:p>
      <w:pPr>
        <w:rPr>
          <w:lang w:eastAsia="x-none"/>
        </w:rPr>
      </w:pPr>
      <w:r>
        <w:rPr>
          <w:lang w:eastAsia="x-none"/>
        </w:rPr>
        <w:t>Lors des tests de fumigation de nombreuses anomalies en domaine privé n’ont pas pu être identifiable depuis le domaine public c’est pourquoi il est nécessaire de réaliser un programme de contrôle de branchement.</w:t>
      </w:r>
    </w:p>
    <w:p>
      <w:r>
        <w:t>L’action 3 a pour objectif de localiser précisément des anomalies afin de supprimer des surfaces actives responsables d’entrée d’eaux claires parasites par temps de pluie.</w:t>
      </w:r>
    </w:p>
    <w:p>
      <w:pPr>
        <w:pStyle w:val="Retrait1"/>
        <w:tabs>
          <w:tab w:val="clear" w:pos="927"/>
        </w:tabs>
        <w:ind w:left="700" w:hanging="360"/>
      </w:pPr>
      <w:r>
        <w:t>Indicateurs et ratios caractéristiques</w:t>
      </w:r>
    </w:p>
    <w:p>
      <w:pPr>
        <w:keepNext/>
      </w:pPr>
      <w:r>
        <w:rPr>
          <w:noProof/>
        </w:rPr>
        <w:drawing>
          <wp:inline distT="0" distB="0" distL="0" distR="0">
            <wp:extent cx="5972810" cy="592455"/>
            <wp:effectExtent l="19050" t="19050" r="27940" b="17145"/>
            <wp:docPr id="1350" name="Image 1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972810" cy="592455"/>
                    </a:xfrm>
                    <a:prstGeom prst="rect">
                      <a:avLst/>
                    </a:prstGeom>
                    <a:ln>
                      <a:solidFill>
                        <a:schemeClr val="tx1"/>
                      </a:solidFill>
                    </a:ln>
                  </pic:spPr>
                </pic:pic>
              </a:graphicData>
            </a:graphic>
          </wp:inline>
        </w:drawing>
      </w:r>
      <w:r>
        <w:t xml:space="preserve">  </w:t>
      </w:r>
    </w:p>
    <w:p>
      <w:pPr>
        <w:pStyle w:val="Lgende"/>
      </w:pPr>
      <w:r>
        <w:t>Action 3 - efficacité de l'action en terme d'élimination d'ECP</w:t>
      </w:r>
    </w:p>
    <w:p>
      <w:pPr>
        <w:pStyle w:val="Retrait1"/>
        <w:tabs>
          <w:tab w:val="clear" w:pos="927"/>
        </w:tabs>
        <w:ind w:left="700" w:hanging="360"/>
      </w:pPr>
      <w:r>
        <w:t>Estimation du cout des travaux, priorités de réalisation</w:t>
      </w:r>
    </w:p>
    <w:p>
      <w:r>
        <w:rPr>
          <w:noProof/>
        </w:rPr>
        <w:drawing>
          <wp:inline distT="0" distB="0" distL="0" distR="0">
            <wp:extent cx="5972810" cy="922655"/>
            <wp:effectExtent l="19050" t="19050" r="27940" b="10795"/>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972810" cy="922655"/>
                    </a:xfrm>
                    <a:prstGeom prst="rect">
                      <a:avLst/>
                    </a:prstGeom>
                    <a:ln>
                      <a:solidFill>
                        <a:schemeClr val="tx1"/>
                      </a:solidFill>
                    </a:ln>
                  </pic:spPr>
                </pic:pic>
              </a:graphicData>
            </a:graphic>
          </wp:inline>
        </w:drawing>
      </w:r>
      <w:r>
        <w:t xml:space="preserve"> </w:t>
      </w:r>
    </w:p>
    <w:p>
      <w:pPr>
        <w:pStyle w:val="Lgende"/>
      </w:pPr>
      <w:r>
        <w:t>Action 3 - estimation du coût des travaux et priorité de réalisation</w:t>
      </w:r>
    </w:p>
    <w:p>
      <w:pPr>
        <w:pStyle w:val="Titre2"/>
      </w:pPr>
      <w:bookmarkStart w:id="64" w:name="_Toc46480281"/>
      <w:bookmarkStart w:id="65" w:name="_Toc67555855"/>
      <w:bookmarkStart w:id="66" w:name="_Toc46480284"/>
      <w:bookmarkStart w:id="67" w:name="_Toc92700771"/>
      <w:r>
        <w:t>Thématique 2 : Suppression des eaux claires parasites de temps sec et/ou ressuyage</w:t>
      </w:r>
      <w:bookmarkEnd w:id="64"/>
      <w:bookmarkEnd w:id="65"/>
      <w:bookmarkEnd w:id="67"/>
    </w:p>
    <w:p>
      <w:pPr>
        <w:pStyle w:val="Titre3"/>
      </w:pPr>
      <w:bookmarkStart w:id="68" w:name="_Toc46480282"/>
      <w:bookmarkStart w:id="69" w:name="_Toc67555856"/>
      <w:bookmarkStart w:id="70" w:name="_Toc92700772"/>
      <w:r>
        <w:t>Action n°4 : Réhabilitation ou renouvellement des tronçons responsables d'apports d'eaux claires parasites</w:t>
      </w:r>
      <w:bookmarkEnd w:id="68"/>
      <w:bookmarkEnd w:id="69"/>
      <w:bookmarkEnd w:id="70"/>
    </w:p>
    <w:p>
      <w:pPr>
        <w:pStyle w:val="Retrait1"/>
        <w:numPr>
          <w:ilvl w:val="0"/>
          <w:numId w:val="30"/>
        </w:numPr>
        <w:ind w:left="700" w:hanging="360"/>
      </w:pPr>
      <w:r>
        <w:t>Etat des lieux et objectif de l’action</w:t>
      </w:r>
    </w:p>
    <w:p>
      <w:r>
        <w:t>Les ITV n’ont pas localisé d’anomalies responsables d’entrées d’eaux parasites sur les secteurs sensibles à très sensibles. Sur la commune de Saint-</w:t>
      </w:r>
      <w:proofErr w:type="spellStart"/>
      <w:r>
        <w:t>Gervasy</w:t>
      </w:r>
      <w:proofErr w:type="spellEnd"/>
      <w:r>
        <w:t xml:space="preserve">, une canalisation sensible aux eaux parasites d’infiltration n’a pas pu être inspectée car elle est constamment en charge. Celle-ci devra donc être renouvelée afin de supprimer à la fois les possibles </w:t>
      </w:r>
      <w:proofErr w:type="gramStart"/>
      <w:r>
        <w:t>entrées</w:t>
      </w:r>
      <w:proofErr w:type="gramEnd"/>
      <w:r>
        <w:t xml:space="preserve"> d’eaux claires parasites et les problèmes d’écoulement.</w:t>
      </w:r>
    </w:p>
    <w:p>
      <w:pPr>
        <w:pStyle w:val="Retrait1"/>
        <w:numPr>
          <w:ilvl w:val="0"/>
          <w:numId w:val="30"/>
        </w:numPr>
        <w:ind w:left="700" w:hanging="360"/>
      </w:pPr>
      <w:r>
        <w:t>Indicateurs et ratios caractéristiques</w:t>
      </w:r>
    </w:p>
    <w:p>
      <w:r>
        <w:rPr>
          <w:noProof/>
        </w:rPr>
        <w:drawing>
          <wp:inline distT="0" distB="0" distL="0" distR="0">
            <wp:extent cx="5972810" cy="474980"/>
            <wp:effectExtent l="19050" t="19050" r="27940" b="20320"/>
            <wp:docPr id="1351" name="Image 1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972810" cy="474980"/>
                    </a:xfrm>
                    <a:prstGeom prst="rect">
                      <a:avLst/>
                    </a:prstGeom>
                    <a:ln>
                      <a:solidFill>
                        <a:schemeClr val="tx1"/>
                      </a:solidFill>
                    </a:ln>
                  </pic:spPr>
                </pic:pic>
              </a:graphicData>
            </a:graphic>
          </wp:inline>
        </w:drawing>
      </w:r>
      <w:r>
        <w:t xml:space="preserve"> </w:t>
      </w:r>
    </w:p>
    <w:p>
      <w:pPr>
        <w:pStyle w:val="Lgende"/>
      </w:pPr>
      <w:r>
        <w:t>Action 4 - efficacité de l'action en terme d'élimination d'ECP</w:t>
      </w:r>
    </w:p>
    <w:p>
      <w:pPr>
        <w:pStyle w:val="Retrait1"/>
        <w:numPr>
          <w:ilvl w:val="0"/>
          <w:numId w:val="30"/>
        </w:numPr>
        <w:ind w:left="700" w:hanging="360"/>
      </w:pPr>
      <w:r>
        <w:t>Estimation du cout des travaux, priorités de réalisation</w:t>
      </w:r>
    </w:p>
    <w:p>
      <w:r>
        <w:rPr>
          <w:noProof/>
        </w:rPr>
        <w:drawing>
          <wp:inline distT="0" distB="0" distL="0" distR="0">
            <wp:extent cx="5972810" cy="788670"/>
            <wp:effectExtent l="19050" t="19050" r="27940" b="11430"/>
            <wp:docPr id="1348" name="Image 1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972810" cy="788670"/>
                    </a:xfrm>
                    <a:prstGeom prst="rect">
                      <a:avLst/>
                    </a:prstGeom>
                    <a:ln>
                      <a:solidFill>
                        <a:schemeClr val="tx1"/>
                      </a:solidFill>
                    </a:ln>
                  </pic:spPr>
                </pic:pic>
              </a:graphicData>
            </a:graphic>
          </wp:inline>
        </w:drawing>
      </w:r>
      <w:r>
        <w:t xml:space="preserve"> </w:t>
      </w:r>
    </w:p>
    <w:p>
      <w:pPr>
        <w:pStyle w:val="Lgende"/>
      </w:pPr>
      <w:r>
        <w:t>Action 4 - estimation du coût des travaux et priorité de réalisation</w:t>
      </w:r>
    </w:p>
    <w:p/>
    <w:p>
      <w:pPr>
        <w:pStyle w:val="Titre2"/>
      </w:pPr>
      <w:bookmarkStart w:id="71" w:name="_Toc92700773"/>
      <w:r>
        <w:lastRenderedPageBreak/>
        <w:t>Thématique 3 : Réhabilitation des réseaux et regards de visite</w:t>
      </w:r>
      <w:bookmarkEnd w:id="66"/>
      <w:bookmarkEnd w:id="71"/>
    </w:p>
    <w:p>
      <w:pPr>
        <w:pStyle w:val="Titre3"/>
      </w:pPr>
      <w:bookmarkStart w:id="72" w:name="_Toc46480285"/>
      <w:bookmarkStart w:id="73" w:name="_Toc92700774"/>
      <w:r>
        <w:t>Action n°5 : Réhabilitation ponctuelle des réseaux pouvant être sensibles aux intrusions d'eaux claires parasites</w:t>
      </w:r>
      <w:bookmarkEnd w:id="72"/>
      <w:bookmarkEnd w:id="73"/>
    </w:p>
    <w:p>
      <w:pPr>
        <w:pStyle w:val="Retrait1"/>
        <w:numPr>
          <w:ilvl w:val="0"/>
          <w:numId w:val="30"/>
        </w:numPr>
        <w:ind w:left="700" w:hanging="360"/>
      </w:pPr>
      <w:bookmarkStart w:id="74" w:name="_Toc46480286"/>
      <w:r>
        <w:t>Etat des lieux et objectif de l’action</w:t>
      </w:r>
    </w:p>
    <w:p>
      <w:r>
        <w:t xml:space="preserve">Les inspections par ITV ont montrées des anomalies structurelles pouvant entrainer des infiltrations d’eaux parasites (1 racine, 2 déplacements, 3 effondrements, 3 fissures, 8 joints défectueux et 2 dégradations de surface). Ces anomalies sont diffuses sur le territoire. Nous prévoyons, pour la suppression de ces anomalies le renouvellement d’un tronçon de 6 m de canalisation lorsque ces anomalies ne sont pas situées sur un tronçon faisant parti du programme de renouvellement (cf. chapitre </w:t>
      </w:r>
      <w:r>
        <w:fldChar w:fldCharType="begin"/>
      </w:r>
      <w:r>
        <w:instrText xml:space="preserve"> REF _Ref67908720 \r \h </w:instrText>
      </w:r>
      <w:r>
        <w:fldChar w:fldCharType="separate"/>
      </w:r>
      <w:r>
        <w:rPr>
          <w:b/>
          <w:bCs/>
        </w:rPr>
        <w:t>Erreur ! Source du renvoi introuvable.</w:t>
      </w:r>
      <w:r>
        <w:fldChar w:fldCharType="end"/>
      </w:r>
      <w:r>
        <w:t>.). Les anomalies qui feront l’objet d’une suppression ponctuelle sont situées au niveau de :</w:t>
      </w:r>
    </w:p>
    <w:p>
      <w:pPr>
        <w:pStyle w:val="Retrait20"/>
        <w:spacing w:before="0"/>
      </w:pPr>
      <w:r>
        <w:t>Rue de la Noria (</w:t>
      </w:r>
      <w:proofErr w:type="spellStart"/>
      <w:r>
        <w:t>Bezouce</w:t>
      </w:r>
      <w:proofErr w:type="spellEnd"/>
      <w:r>
        <w:t>)</w:t>
      </w:r>
    </w:p>
    <w:p>
      <w:pPr>
        <w:pStyle w:val="Retrait20"/>
        <w:spacing w:before="0"/>
      </w:pPr>
      <w:r>
        <w:t>Rue de la Calade (</w:t>
      </w:r>
      <w:proofErr w:type="spellStart"/>
      <w:r>
        <w:t>Bezouce</w:t>
      </w:r>
      <w:proofErr w:type="spellEnd"/>
      <w:r>
        <w:t>)</w:t>
      </w:r>
    </w:p>
    <w:p>
      <w:pPr>
        <w:pStyle w:val="Retrait20"/>
        <w:spacing w:before="0"/>
      </w:pPr>
      <w:r>
        <w:t>Place de l’Eglise (</w:t>
      </w:r>
      <w:proofErr w:type="spellStart"/>
      <w:r>
        <w:t>Bezouce</w:t>
      </w:r>
      <w:proofErr w:type="spellEnd"/>
      <w:r>
        <w:t>)</w:t>
      </w:r>
    </w:p>
    <w:p>
      <w:pPr>
        <w:pStyle w:val="Retrait20"/>
        <w:spacing w:before="0"/>
      </w:pPr>
      <w:r>
        <w:t>Rue du Camp (</w:t>
      </w:r>
      <w:proofErr w:type="spellStart"/>
      <w:r>
        <w:t>Bezouce</w:t>
      </w:r>
      <w:proofErr w:type="spellEnd"/>
      <w:r>
        <w:t>)</w:t>
      </w:r>
    </w:p>
    <w:p>
      <w:pPr>
        <w:pStyle w:val="Retrait20"/>
        <w:spacing w:before="0"/>
      </w:pPr>
      <w:r>
        <w:t>Avenue du hameau de Rodier (Saint-</w:t>
      </w:r>
      <w:proofErr w:type="spellStart"/>
      <w:r>
        <w:t>Gervasy</w:t>
      </w:r>
      <w:proofErr w:type="spellEnd"/>
      <w:r>
        <w:t>)</w:t>
      </w:r>
    </w:p>
    <w:p>
      <w:pPr>
        <w:spacing w:before="0"/>
        <w:jc w:val="left"/>
      </w:pPr>
      <w:r>
        <w:t xml:space="preserve">Les travaux de suppression ponctuelle des anomalies structurelles pouvant </w:t>
      </w:r>
      <w:proofErr w:type="gramStart"/>
      <w:r>
        <w:t>entrainer</w:t>
      </w:r>
      <w:proofErr w:type="gramEnd"/>
      <w:r>
        <w:t xml:space="preserve"> des infiltrations d’eaux parasites sont localisés sur le plan du programme de travaux en annexe.</w:t>
      </w:r>
    </w:p>
    <w:p>
      <w:pPr>
        <w:pStyle w:val="Retrait1"/>
        <w:ind w:left="700" w:hanging="360"/>
      </w:pPr>
      <w:r>
        <w:t>Indicateurs et ratios caractéristiques</w:t>
      </w:r>
    </w:p>
    <w:p>
      <w:pPr>
        <w:spacing w:before="0"/>
      </w:pPr>
      <w:r>
        <w:rPr>
          <w:noProof/>
        </w:rPr>
        <w:drawing>
          <wp:inline distT="0" distB="0" distL="0" distR="0">
            <wp:extent cx="5972810" cy="361315"/>
            <wp:effectExtent l="19050" t="19050" r="27940" b="19685"/>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972810" cy="361315"/>
                    </a:xfrm>
                    <a:prstGeom prst="rect">
                      <a:avLst/>
                    </a:prstGeom>
                    <a:ln>
                      <a:solidFill>
                        <a:schemeClr val="tx1"/>
                      </a:solidFill>
                    </a:ln>
                  </pic:spPr>
                </pic:pic>
              </a:graphicData>
            </a:graphic>
          </wp:inline>
        </w:drawing>
      </w:r>
      <w:r>
        <w:t xml:space="preserve"> </w:t>
      </w:r>
    </w:p>
    <w:p>
      <w:pPr>
        <w:pStyle w:val="Lgende"/>
      </w:pPr>
      <w:r>
        <w:t>Action 5 - efficacité de l'action en terme d'élimination d'ECP</w:t>
      </w:r>
    </w:p>
    <w:p>
      <w:pPr>
        <w:pStyle w:val="Lgende"/>
        <w:rPr>
          <w:i w:val="0"/>
        </w:rPr>
      </w:pPr>
      <w:r>
        <w:rPr>
          <w:i w:val="0"/>
        </w:rPr>
        <w:t xml:space="preserve">Ces anomalies se situent sur des secteurs peu à moyennement sensibles au entrée d’eau parasites. </w:t>
      </w:r>
    </w:p>
    <w:p>
      <w:pPr>
        <w:pStyle w:val="Retrait1"/>
        <w:ind w:left="700" w:hanging="360"/>
      </w:pPr>
      <w:r>
        <w:t>Estimation du cout des travaux, priorités de réalisation</w:t>
      </w:r>
    </w:p>
    <w:p>
      <w:r>
        <w:rPr>
          <w:noProof/>
        </w:rPr>
        <w:drawing>
          <wp:inline distT="0" distB="0" distL="0" distR="0">
            <wp:extent cx="5972810" cy="650875"/>
            <wp:effectExtent l="19050" t="19050" r="27940" b="15875"/>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972810" cy="650875"/>
                    </a:xfrm>
                    <a:prstGeom prst="rect">
                      <a:avLst/>
                    </a:prstGeom>
                    <a:ln>
                      <a:solidFill>
                        <a:schemeClr val="tx1"/>
                      </a:solidFill>
                    </a:ln>
                  </pic:spPr>
                </pic:pic>
              </a:graphicData>
            </a:graphic>
          </wp:inline>
        </w:drawing>
      </w:r>
      <w:r>
        <w:t xml:space="preserve">  </w:t>
      </w:r>
    </w:p>
    <w:p>
      <w:pPr>
        <w:pStyle w:val="Lgende"/>
      </w:pPr>
      <w:r>
        <w:t>Action 5 - estimation du coût des travaux et priorité de réalisation</w:t>
      </w:r>
    </w:p>
    <w:p>
      <w:pPr>
        <w:pStyle w:val="Titre3"/>
      </w:pPr>
      <w:bookmarkStart w:id="75" w:name="_Toc67065468"/>
      <w:bookmarkStart w:id="76" w:name="_Toc92700775"/>
      <w:r>
        <w:t xml:space="preserve">Action n°6 : </w:t>
      </w:r>
      <w:bookmarkEnd w:id="75"/>
      <w:r>
        <w:t>Suppression des branchements pénétrants</w:t>
      </w:r>
      <w:bookmarkEnd w:id="76"/>
      <w:r>
        <w:t xml:space="preserve"> </w:t>
      </w:r>
    </w:p>
    <w:p>
      <w:pPr>
        <w:pStyle w:val="Retrait1"/>
        <w:numPr>
          <w:ilvl w:val="0"/>
          <w:numId w:val="32"/>
        </w:numPr>
        <w:ind w:left="700" w:hanging="360"/>
      </w:pPr>
      <w:r>
        <w:t>Etat des lieux et objectif de l’action</w:t>
      </w:r>
    </w:p>
    <w:p>
      <w:r>
        <w:t>Les inspectés par ITV ont montrées des anomalies structurelles pouvant entrainer des problèmes d’écoulement (branchements pénétrants). L’objectif de cette mesure est d’anticiper les problèmes futurs de colmatage des réseaux.</w:t>
      </w:r>
    </w:p>
    <w:p>
      <w:r>
        <w:t xml:space="preserve">Nous prévoyons, la suppression des branchements pénétrant lorsque ceux-ci ne sont pas situés sur un tronçon faisant parti du programme de renouvellement (cf. chapitre </w:t>
      </w:r>
      <w:r>
        <w:fldChar w:fldCharType="begin"/>
      </w:r>
      <w:r>
        <w:instrText xml:space="preserve"> REF _Ref67908720 \r \h </w:instrText>
      </w:r>
      <w:r>
        <w:fldChar w:fldCharType="separate"/>
      </w:r>
      <w:r>
        <w:rPr>
          <w:b/>
          <w:bCs/>
        </w:rPr>
        <w:t>Erreur ! Source du renvoi introuvable.</w:t>
      </w:r>
      <w:r>
        <w:fldChar w:fldCharType="end"/>
      </w:r>
      <w:r>
        <w:t xml:space="preserve">.). Les branchements pénétrants faisant l’objet d’une suppression ponctuelle sont situés au niveau de l’avenue Georges </w:t>
      </w:r>
      <w:proofErr w:type="spellStart"/>
      <w:r>
        <w:t>Taillefer</w:t>
      </w:r>
      <w:proofErr w:type="spellEnd"/>
      <w:r>
        <w:t xml:space="preserve"> et de la rue du Moulin (Saint-</w:t>
      </w:r>
      <w:proofErr w:type="spellStart"/>
      <w:r>
        <w:t>Gervasy</w:t>
      </w:r>
      <w:proofErr w:type="spellEnd"/>
      <w:r>
        <w:t>)</w:t>
      </w:r>
    </w:p>
    <w:p>
      <w:pPr>
        <w:spacing w:before="0"/>
        <w:jc w:val="left"/>
      </w:pPr>
      <w:r>
        <w:t>Les travaux de suppression ponctuelle des branchements pénétrants sont localisés sur le plan du programme de travaux en annexe.</w:t>
      </w:r>
    </w:p>
    <w:p>
      <w:pPr>
        <w:pStyle w:val="Retrait1"/>
        <w:numPr>
          <w:ilvl w:val="0"/>
          <w:numId w:val="32"/>
        </w:numPr>
        <w:ind w:left="700" w:hanging="360"/>
      </w:pPr>
      <w:r>
        <w:t>Indicateurs et ratios caractéristiques</w:t>
      </w:r>
    </w:p>
    <w:p>
      <w:r>
        <w:rPr>
          <w:noProof/>
        </w:rPr>
        <w:drawing>
          <wp:inline distT="0" distB="0" distL="0" distR="0">
            <wp:extent cx="5972810" cy="474345"/>
            <wp:effectExtent l="19050" t="19050" r="27940" b="20955"/>
            <wp:docPr id="1359" name="Image 1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972810" cy="474345"/>
                    </a:xfrm>
                    <a:prstGeom prst="rect">
                      <a:avLst/>
                    </a:prstGeom>
                    <a:ln>
                      <a:solidFill>
                        <a:schemeClr val="tx1"/>
                      </a:solidFill>
                    </a:ln>
                  </pic:spPr>
                </pic:pic>
              </a:graphicData>
            </a:graphic>
          </wp:inline>
        </w:drawing>
      </w:r>
    </w:p>
    <w:p>
      <w:pPr>
        <w:pStyle w:val="Lgende"/>
      </w:pPr>
      <w:r>
        <w:t>Action 6 - efficacité de l'action en terme d'élimination d'ECP</w:t>
      </w:r>
    </w:p>
    <w:p>
      <w:pPr>
        <w:pStyle w:val="Retrait1"/>
        <w:numPr>
          <w:ilvl w:val="0"/>
          <w:numId w:val="32"/>
        </w:numPr>
        <w:ind w:left="700" w:hanging="360"/>
      </w:pPr>
      <w:r>
        <w:t>Estimation du cout des travaux, priorités de réalisation</w:t>
      </w:r>
    </w:p>
    <w:p>
      <w:r>
        <w:rPr>
          <w:noProof/>
        </w:rPr>
        <w:drawing>
          <wp:inline distT="0" distB="0" distL="0" distR="0">
            <wp:extent cx="5972810" cy="480695"/>
            <wp:effectExtent l="19050" t="19050" r="27940" b="14605"/>
            <wp:docPr id="1358" name="Image 1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972810" cy="480695"/>
                    </a:xfrm>
                    <a:prstGeom prst="rect">
                      <a:avLst/>
                    </a:prstGeom>
                    <a:ln>
                      <a:solidFill>
                        <a:schemeClr val="tx1"/>
                      </a:solidFill>
                    </a:ln>
                  </pic:spPr>
                </pic:pic>
              </a:graphicData>
            </a:graphic>
          </wp:inline>
        </w:drawing>
      </w:r>
      <w:r>
        <w:t xml:space="preserve"> </w:t>
      </w:r>
    </w:p>
    <w:p>
      <w:pPr>
        <w:pStyle w:val="Lgende"/>
      </w:pPr>
      <w:r>
        <w:t>Action 6 - estimation du coût des travaux et priorité de réalisation</w:t>
      </w:r>
    </w:p>
    <w:p>
      <w:pPr>
        <w:pStyle w:val="Titre3"/>
      </w:pPr>
      <w:bookmarkStart w:id="77" w:name="_Toc92700776"/>
      <w:r>
        <w:lastRenderedPageBreak/>
        <w:t>Action n°7 : Réhabilitation des regards de visite vétustes non étanches et/ou présentant des anomalies structurelles</w:t>
      </w:r>
      <w:bookmarkEnd w:id="74"/>
      <w:bookmarkEnd w:id="77"/>
    </w:p>
    <w:p>
      <w:pPr>
        <w:pStyle w:val="Retrait1"/>
        <w:tabs>
          <w:tab w:val="clear" w:pos="927"/>
        </w:tabs>
        <w:ind w:left="700" w:hanging="360"/>
      </w:pPr>
      <w:r>
        <w:t>Etat des lieux et objectif de l’action</w:t>
      </w:r>
    </w:p>
    <w:p>
      <w:pPr>
        <w:rPr>
          <w:lang w:eastAsia="x-none"/>
        </w:rPr>
      </w:pPr>
      <w:r>
        <w:rPr>
          <w:lang w:eastAsia="x-none"/>
        </w:rPr>
        <w:t>Un certain nombre de regards de visites présentent des anomalies structurelles. Elles ont été recensées lors des visites de terrain. Les regards fissurés ou subissant des pénétrations de racines doivent faire l’objet d’une opération soit de renouvellement soit d’</w:t>
      </w:r>
      <w:proofErr w:type="spellStart"/>
      <w:r>
        <w:rPr>
          <w:lang w:eastAsia="x-none"/>
        </w:rPr>
        <w:t>étanchéification</w:t>
      </w:r>
      <w:proofErr w:type="spellEnd"/>
      <w:r>
        <w:rPr>
          <w:lang w:eastAsia="x-none"/>
        </w:rPr>
        <w:t xml:space="preserve"> par application d’une résine. Cette mesure concerne 52 regards. Les regards sont classés par priorité :</w:t>
      </w:r>
    </w:p>
    <w:p>
      <w:pPr>
        <w:pStyle w:val="Paragraphedeliste"/>
        <w:numPr>
          <w:ilvl w:val="0"/>
          <w:numId w:val="24"/>
        </w:numPr>
        <w:rPr>
          <w:lang w:eastAsia="x-none"/>
        </w:rPr>
      </w:pPr>
      <w:r>
        <w:rPr>
          <w:lang w:eastAsia="x-none"/>
        </w:rPr>
        <w:t xml:space="preserve">Priorité 1 : regards de visite sensibles aux entrées d’eaux parasites d’infiltration. Sur les communes de </w:t>
      </w:r>
      <w:proofErr w:type="spellStart"/>
      <w:r>
        <w:rPr>
          <w:lang w:eastAsia="x-none"/>
        </w:rPr>
        <w:t>Bezouce</w:t>
      </w:r>
      <w:proofErr w:type="spellEnd"/>
      <w:r>
        <w:rPr>
          <w:lang w:eastAsia="x-none"/>
        </w:rPr>
        <w:t xml:space="preserve"> et de Saint-</w:t>
      </w:r>
      <w:proofErr w:type="spellStart"/>
      <w:r>
        <w:rPr>
          <w:lang w:eastAsia="x-none"/>
        </w:rPr>
        <w:t>Gervasy</w:t>
      </w:r>
      <w:proofErr w:type="spellEnd"/>
      <w:r>
        <w:rPr>
          <w:lang w:eastAsia="x-none"/>
        </w:rPr>
        <w:t xml:space="preserve"> aucune infiltration n’a été constatée au niveau des regards.</w:t>
      </w:r>
    </w:p>
    <w:p>
      <w:pPr>
        <w:pStyle w:val="Paragraphedeliste"/>
        <w:numPr>
          <w:ilvl w:val="0"/>
          <w:numId w:val="24"/>
        </w:numPr>
        <w:rPr>
          <w:lang w:eastAsia="x-none"/>
        </w:rPr>
      </w:pPr>
      <w:r>
        <w:rPr>
          <w:lang w:eastAsia="x-none"/>
        </w:rPr>
        <w:t>Priorité 2 : regards de visite potentiellement sensibles aux entrées d’eaux claires parasites. Ils sont classés de mauvais à très mauvais dans le rapport de phase 1.</w:t>
      </w:r>
    </w:p>
    <w:p>
      <w:pPr>
        <w:pStyle w:val="Paragraphedeliste"/>
        <w:numPr>
          <w:ilvl w:val="0"/>
          <w:numId w:val="24"/>
        </w:numPr>
        <w:rPr>
          <w:lang w:eastAsia="x-none"/>
        </w:rPr>
      </w:pPr>
      <w:r>
        <w:rPr>
          <w:lang w:eastAsia="x-none"/>
        </w:rPr>
        <w:t>Priorité 3 : regards de visite potentiellement sensibles aux entrées d’eaux claires parasites. Ils sont classés médiocres dans le rapport de phase 1.</w:t>
      </w:r>
    </w:p>
    <w:p>
      <w:pPr>
        <w:rPr>
          <w:rFonts w:cs="Arial"/>
          <w:b/>
        </w:rPr>
      </w:pPr>
      <w:r>
        <w:rPr>
          <w:lang w:eastAsia="x-none"/>
        </w:rPr>
        <w:t>Cette action a pour but de prévenir les risques d’infiltration.</w:t>
      </w:r>
    </w:p>
    <w:p>
      <w:pPr>
        <w:pStyle w:val="Retrait1"/>
        <w:tabs>
          <w:tab w:val="clear" w:pos="927"/>
        </w:tabs>
        <w:ind w:left="700" w:hanging="360"/>
      </w:pPr>
      <w:r>
        <w:t>Indicateurs et ratios caractéristiques</w:t>
      </w:r>
    </w:p>
    <w:p>
      <w:pPr>
        <w:rPr>
          <w:lang w:eastAsia="x-none"/>
        </w:rPr>
      </w:pPr>
      <w:r>
        <w:rPr>
          <w:lang w:eastAsia="x-none"/>
        </w:rPr>
        <w:t>Non déterminé.</w:t>
      </w:r>
    </w:p>
    <w:p>
      <w:pPr>
        <w:pStyle w:val="Retrait1"/>
        <w:tabs>
          <w:tab w:val="clear" w:pos="927"/>
        </w:tabs>
        <w:ind w:left="700" w:hanging="360"/>
      </w:pPr>
      <w:r>
        <w:t>Estimation du cout des travaux, priorités de réalisation</w:t>
      </w:r>
    </w:p>
    <w:p>
      <w:pPr>
        <w:keepNext/>
      </w:pPr>
      <w:r>
        <w:rPr>
          <w:noProof/>
        </w:rPr>
        <w:drawing>
          <wp:inline distT="0" distB="0" distL="0" distR="0">
            <wp:extent cx="5972810" cy="979170"/>
            <wp:effectExtent l="19050" t="19050" r="27940" b="11430"/>
            <wp:docPr id="1356" name="Image 1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972810" cy="979170"/>
                    </a:xfrm>
                    <a:prstGeom prst="rect">
                      <a:avLst/>
                    </a:prstGeom>
                    <a:ln>
                      <a:solidFill>
                        <a:schemeClr val="tx1"/>
                      </a:solidFill>
                    </a:ln>
                  </pic:spPr>
                </pic:pic>
              </a:graphicData>
            </a:graphic>
          </wp:inline>
        </w:drawing>
      </w:r>
      <w:r>
        <w:t xml:space="preserve">  </w:t>
      </w:r>
    </w:p>
    <w:p>
      <w:pPr>
        <w:pStyle w:val="Lgende"/>
      </w:pPr>
      <w:bookmarkStart w:id="78" w:name="_Toc46480609"/>
      <w:r>
        <w:t xml:space="preserve">Action 7 - </w:t>
      </w:r>
      <w:bookmarkEnd w:id="78"/>
      <w:r>
        <w:t>estimation du coût des travaux et priorité de réalisation</w:t>
      </w:r>
    </w:p>
    <w:p>
      <w:pPr>
        <w:pStyle w:val="Retrait20"/>
        <w:tabs>
          <w:tab w:val="clear" w:pos="928"/>
          <w:tab w:val="num" w:pos="1324"/>
        </w:tabs>
        <w:ind w:left="1304"/>
      </w:pPr>
      <w:r>
        <w:t>Les regards concernés en priorité 2 sont les suivants (numéro issus du SIG) : 358, 362, 777, 1832, 1833, 2041, 2043, 2180, 2183, 2207, 2218, 2339, 2537, 2538, 2610, 2613, 2715, 2797, 5584, 5591, 5679, 5682, 5700 et 10021</w:t>
      </w:r>
    </w:p>
    <w:p>
      <w:pPr>
        <w:pStyle w:val="Retrait20"/>
        <w:tabs>
          <w:tab w:val="clear" w:pos="928"/>
          <w:tab w:val="num" w:pos="1324"/>
        </w:tabs>
        <w:ind w:left="1304"/>
      </w:pPr>
      <w:r>
        <w:t>Les regards concernés en priorité 3 sont les suivants (numéro issus du SIG) : 363, 1726, 1901, 1955, 2173, 2193, 2239, 2240, 2333, 2435, 2513, 2575, 2617, 2621, 2860, 5263, 5268, 5362, 5539, 5577, 5580, 5594, 5614, 5676, 5681, 5789, 5794, 5983, 6017 et 10069</w:t>
      </w:r>
    </w:p>
    <w:p>
      <w:pPr>
        <w:pStyle w:val="Titre2"/>
      </w:pPr>
      <w:bookmarkStart w:id="79" w:name="_Toc46480287"/>
      <w:bookmarkStart w:id="80" w:name="_Toc92700777"/>
      <w:r>
        <w:t>Thématique 4 : Réhabilitation des équipements et ouvrages (conformité réglementaire, sécurité et exploitation)</w:t>
      </w:r>
      <w:bookmarkEnd w:id="79"/>
      <w:bookmarkEnd w:id="80"/>
    </w:p>
    <w:p>
      <w:pPr>
        <w:pStyle w:val="Titre3"/>
      </w:pPr>
      <w:bookmarkStart w:id="81" w:name="_Toc46480288"/>
      <w:bookmarkStart w:id="82" w:name="_Toc92700778"/>
      <w:r>
        <w:t>Action n°8 : Réhabilitation des postes de relevage</w:t>
      </w:r>
      <w:bookmarkEnd w:id="81"/>
      <w:bookmarkEnd w:id="82"/>
    </w:p>
    <w:p>
      <w:pPr>
        <w:pStyle w:val="Retrait1"/>
        <w:tabs>
          <w:tab w:val="clear" w:pos="927"/>
        </w:tabs>
        <w:ind w:left="700" w:hanging="360"/>
      </w:pPr>
      <w:r>
        <w:t>Etat des lieux et objectif de l’action</w:t>
      </w:r>
    </w:p>
    <w:p>
      <w:r>
        <w:t xml:space="preserve">La visite du poste de relevage de Picholines a révélé quelques problèmes de sécurité, d’exploitation et structurels.  </w:t>
      </w:r>
    </w:p>
    <w:p>
      <w:pPr>
        <w:pStyle w:val="Retrait1"/>
        <w:tabs>
          <w:tab w:val="clear" w:pos="927"/>
        </w:tabs>
        <w:ind w:left="700" w:hanging="360"/>
      </w:pPr>
      <w:r>
        <w:t>Indicateurs et ratios caractéristiques</w:t>
      </w:r>
    </w:p>
    <w:p>
      <w:pPr>
        <w:rPr>
          <w:lang w:eastAsia="x-none"/>
        </w:rPr>
      </w:pPr>
      <w:r>
        <w:rPr>
          <w:lang w:eastAsia="x-none"/>
        </w:rPr>
        <w:t>Sans objet.</w:t>
      </w:r>
    </w:p>
    <w:p>
      <w:pPr>
        <w:pStyle w:val="Retrait1"/>
        <w:tabs>
          <w:tab w:val="clear" w:pos="927"/>
        </w:tabs>
        <w:ind w:left="700" w:hanging="360"/>
      </w:pPr>
      <w:r>
        <w:t>Estimation du cout des travaux, priorités de réalisation</w:t>
      </w:r>
    </w:p>
    <w:p>
      <w:pPr>
        <w:keepNext/>
      </w:pPr>
      <w:r>
        <w:rPr>
          <w:noProof/>
        </w:rPr>
        <w:drawing>
          <wp:inline distT="0" distB="0" distL="0" distR="0">
            <wp:extent cx="5972810" cy="1039495"/>
            <wp:effectExtent l="19050" t="19050" r="27940" b="27305"/>
            <wp:docPr id="229" name="Imag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5972810" cy="1039495"/>
                    </a:xfrm>
                    <a:prstGeom prst="rect">
                      <a:avLst/>
                    </a:prstGeom>
                    <a:ln>
                      <a:solidFill>
                        <a:schemeClr val="tx1"/>
                      </a:solidFill>
                    </a:ln>
                  </pic:spPr>
                </pic:pic>
              </a:graphicData>
            </a:graphic>
          </wp:inline>
        </w:drawing>
      </w:r>
      <w:r>
        <w:t xml:space="preserve">     </w:t>
      </w:r>
    </w:p>
    <w:p>
      <w:pPr>
        <w:pStyle w:val="Lgende"/>
      </w:pPr>
      <w:bookmarkStart w:id="83" w:name="_Toc46480610"/>
      <w:r>
        <w:t xml:space="preserve">Action 8 - </w:t>
      </w:r>
      <w:bookmarkEnd w:id="83"/>
      <w:r>
        <w:t>estimation du coût des travaux et priorité de réalisation</w:t>
      </w:r>
    </w:p>
    <w:p>
      <w:pPr>
        <w:pStyle w:val="Titre3"/>
      </w:pPr>
      <w:bookmarkStart w:id="84" w:name="_Toc46480289"/>
      <w:bookmarkStart w:id="85" w:name="_Ref67920406"/>
      <w:bookmarkStart w:id="86" w:name="_Toc92700779"/>
      <w:r>
        <w:lastRenderedPageBreak/>
        <w:t>Action n°9 : Réhabilitation de l’unité de dépollution</w:t>
      </w:r>
      <w:bookmarkEnd w:id="84"/>
      <w:bookmarkEnd w:id="85"/>
      <w:bookmarkEnd w:id="86"/>
    </w:p>
    <w:p>
      <w:pPr>
        <w:pStyle w:val="Retrait1"/>
        <w:tabs>
          <w:tab w:val="clear" w:pos="927"/>
        </w:tabs>
        <w:ind w:left="700" w:hanging="360"/>
      </w:pPr>
      <w:r>
        <w:t>Etat des lieux et objectif de l’action</w:t>
      </w:r>
    </w:p>
    <w:p>
      <w:r>
        <w:t xml:space="preserve">Les visites de la station de traitement a permis d’établir certaines propositions de travaux à réaliser avec comme objectif une exploitation plus pérenne de la station et la reprise de certains désordres. </w:t>
      </w:r>
    </w:p>
    <w:p>
      <w:pPr>
        <w:pStyle w:val="Retrait1"/>
        <w:tabs>
          <w:tab w:val="clear" w:pos="927"/>
        </w:tabs>
        <w:ind w:left="700" w:hanging="360"/>
      </w:pPr>
      <w:r>
        <w:t>Indicateurs et ratios caractéristiques</w:t>
      </w:r>
    </w:p>
    <w:p>
      <w:pPr>
        <w:pStyle w:val="Retrait20"/>
        <w:tabs>
          <w:tab w:val="clear" w:pos="928"/>
          <w:tab w:val="num" w:pos="1324"/>
        </w:tabs>
        <w:ind w:left="1304"/>
      </w:pPr>
      <w:r>
        <w:t>Conformité performance annuelle du traitement</w:t>
      </w:r>
    </w:p>
    <w:p>
      <w:pPr>
        <w:pStyle w:val="Retrait1"/>
        <w:tabs>
          <w:tab w:val="clear" w:pos="927"/>
        </w:tabs>
        <w:ind w:left="700" w:hanging="360"/>
      </w:pPr>
      <w:r>
        <w:t>Estimation du cout des travaux, priorités de réalisation</w:t>
      </w:r>
    </w:p>
    <w:p>
      <w:pPr>
        <w:keepNext/>
      </w:pPr>
      <w:r>
        <w:rPr>
          <w:noProof/>
        </w:rPr>
        <w:drawing>
          <wp:inline distT="0" distB="0" distL="0" distR="0">
            <wp:extent cx="5972810" cy="1943735"/>
            <wp:effectExtent l="19050" t="19050" r="27940" b="18415"/>
            <wp:docPr id="230" name="Imag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972810" cy="1943735"/>
                    </a:xfrm>
                    <a:prstGeom prst="rect">
                      <a:avLst/>
                    </a:prstGeom>
                    <a:ln>
                      <a:solidFill>
                        <a:schemeClr val="tx1"/>
                      </a:solidFill>
                    </a:ln>
                  </pic:spPr>
                </pic:pic>
              </a:graphicData>
            </a:graphic>
          </wp:inline>
        </w:drawing>
      </w:r>
      <w:r>
        <w:t xml:space="preserve">    </w:t>
      </w:r>
    </w:p>
    <w:p>
      <w:pPr>
        <w:pStyle w:val="Lgende"/>
      </w:pPr>
      <w:bookmarkStart w:id="87" w:name="_Toc46480611"/>
      <w:r>
        <w:t xml:space="preserve">Action 9 - </w:t>
      </w:r>
      <w:bookmarkEnd w:id="87"/>
      <w:r>
        <w:t>estimation du coût des travaux et priorité de réalisation</w:t>
      </w:r>
    </w:p>
    <w:p>
      <w:pPr>
        <w:pStyle w:val="Titre2"/>
      </w:pPr>
      <w:bookmarkStart w:id="88" w:name="_Toc46480290"/>
      <w:bookmarkStart w:id="89" w:name="_Toc92700780"/>
      <w:r>
        <w:t>Thématique 5 : Modification du schéma de collecte</w:t>
      </w:r>
      <w:bookmarkEnd w:id="89"/>
    </w:p>
    <w:p>
      <w:pPr>
        <w:pStyle w:val="Titre3"/>
      </w:pPr>
      <w:bookmarkStart w:id="90" w:name="_Toc92700781"/>
      <w:r>
        <w:t>Action n°10 : Suppression des canalisations avec risques hydrauliques situées en domaine privé</w:t>
      </w:r>
      <w:bookmarkEnd w:id="90"/>
    </w:p>
    <w:p>
      <w:r>
        <w:t>Dans les rapports d’activité du délégataire, une canalisation située en domaine privé (Avenue de Nîmes à Saint-</w:t>
      </w:r>
      <w:proofErr w:type="spellStart"/>
      <w:r>
        <w:t>Gervasy</w:t>
      </w:r>
      <w:proofErr w:type="spellEnd"/>
      <w:r>
        <w:t xml:space="preserve">) pose des problèmes de colmatage et de débordement. Les inspections télévisées n’ont pu être réalisées sur cette canalisation car le réseau est en charge et ne peut être nettoyé. </w:t>
      </w:r>
    </w:p>
    <w:p>
      <w:r>
        <w:t>Une procédure est en cours afin que la collectivité obtienne une autorisation administrative pour la création d’une servitude. En cas d’impossibilité à obtenir cette servitude nous prévoyons le dévoiement de cette canalisation sur le domaine public.</w:t>
      </w:r>
    </w:p>
    <w:p>
      <w:r>
        <w:t>L’action 10 prévoit le dévoiement de cette canalisation en la déplaçant du domaine privé vers le domaine public.</w:t>
      </w:r>
    </w:p>
    <w:p>
      <w:pPr>
        <w:pStyle w:val="Retrait1"/>
        <w:tabs>
          <w:tab w:val="clear" w:pos="927"/>
        </w:tabs>
        <w:ind w:left="700" w:hanging="360"/>
      </w:pPr>
      <w:r>
        <w:t xml:space="preserve"> Indicateurs et ratios caractéristiques</w:t>
      </w:r>
    </w:p>
    <w:p>
      <w:pPr>
        <w:rPr>
          <w:lang w:eastAsia="x-none"/>
        </w:rPr>
      </w:pPr>
      <w:r>
        <w:rPr>
          <w:lang w:eastAsia="x-none"/>
        </w:rPr>
        <w:t>Sans objet.</w:t>
      </w:r>
    </w:p>
    <w:p>
      <w:pPr>
        <w:pStyle w:val="Retrait1"/>
        <w:tabs>
          <w:tab w:val="clear" w:pos="927"/>
        </w:tabs>
        <w:ind w:left="700" w:hanging="360"/>
      </w:pPr>
      <w:r>
        <w:t>Estimation du cout des travaux, priorités de réalisation</w:t>
      </w:r>
    </w:p>
    <w:p>
      <w:pPr>
        <w:keepNext/>
      </w:pPr>
      <w:r>
        <w:rPr>
          <w:noProof/>
        </w:rPr>
        <w:drawing>
          <wp:inline distT="0" distB="0" distL="0" distR="0">
            <wp:extent cx="5972810" cy="633095"/>
            <wp:effectExtent l="19050" t="19050" r="27940" b="14605"/>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972810" cy="633095"/>
                    </a:xfrm>
                    <a:prstGeom prst="rect">
                      <a:avLst/>
                    </a:prstGeom>
                    <a:ln>
                      <a:solidFill>
                        <a:schemeClr val="tx1"/>
                      </a:solidFill>
                    </a:ln>
                  </pic:spPr>
                </pic:pic>
              </a:graphicData>
            </a:graphic>
          </wp:inline>
        </w:drawing>
      </w:r>
      <w:r>
        <w:t xml:space="preserve">      </w:t>
      </w:r>
    </w:p>
    <w:p>
      <w:pPr>
        <w:pStyle w:val="Lgende"/>
      </w:pPr>
      <w:r>
        <w:t>Action 10 - estimation du coût des travaux et priorité de réalisation</w:t>
      </w:r>
    </w:p>
    <w:p>
      <w:pPr>
        <w:spacing w:before="0"/>
        <w:jc w:val="left"/>
        <w:rPr>
          <w:b/>
          <w:iCs/>
          <w:color w:val="333333"/>
          <w:sz w:val="28"/>
        </w:rPr>
      </w:pPr>
      <w:r>
        <w:br w:type="page"/>
      </w:r>
    </w:p>
    <w:p>
      <w:pPr>
        <w:pStyle w:val="Titre3"/>
      </w:pPr>
      <w:bookmarkStart w:id="91" w:name="_Toc92700782"/>
      <w:r>
        <w:lastRenderedPageBreak/>
        <w:t>Action n°11 : Raccordement de la commune de Saint-</w:t>
      </w:r>
      <w:proofErr w:type="spellStart"/>
      <w:r>
        <w:t>Gervasy</w:t>
      </w:r>
      <w:proofErr w:type="spellEnd"/>
      <w:r>
        <w:t xml:space="preserve"> sur le réseau de Marguerittes</w:t>
      </w:r>
      <w:bookmarkEnd w:id="91"/>
    </w:p>
    <w:p>
      <w:r>
        <w:t xml:space="preserve">Dans le cadre du transfert des eaux usées des communes de </w:t>
      </w:r>
      <w:proofErr w:type="spellStart"/>
      <w:r>
        <w:t>Bezouce</w:t>
      </w:r>
      <w:proofErr w:type="spellEnd"/>
      <w:r>
        <w:t>, Saint-</w:t>
      </w:r>
      <w:proofErr w:type="spellStart"/>
      <w:r>
        <w:t>Gervasy</w:t>
      </w:r>
      <w:proofErr w:type="spellEnd"/>
      <w:r>
        <w:t xml:space="preserve"> et </w:t>
      </w:r>
      <w:proofErr w:type="spellStart"/>
      <w:r>
        <w:t>Cabrières</w:t>
      </w:r>
      <w:proofErr w:type="spellEnd"/>
      <w:r>
        <w:t>, vers la station d’épuration de Marguerittes (scénario de suppression de la station d’épuration de Saint-</w:t>
      </w:r>
      <w:proofErr w:type="spellStart"/>
      <w:r>
        <w:t>Gervasy</w:t>
      </w:r>
      <w:proofErr w:type="spellEnd"/>
      <w:r>
        <w:t>, action n°15), il serait intéressant de raccorder les réseaux d’eaux usées de Saint-</w:t>
      </w:r>
      <w:proofErr w:type="spellStart"/>
      <w:r>
        <w:t>Gervasy</w:t>
      </w:r>
      <w:proofErr w:type="spellEnd"/>
      <w:r>
        <w:t xml:space="preserve"> directement sur la conduite de transfert vers la station d’épuration de Marguerittes. Le raccordement de la branche Est et Ouest de Saint </w:t>
      </w:r>
      <w:proofErr w:type="spellStart"/>
      <w:r>
        <w:t>Gervasy</w:t>
      </w:r>
      <w:proofErr w:type="spellEnd"/>
      <w:r>
        <w:t xml:space="preserve"> directement sur la canalisation de Marguerittes permettrait de supprimer la canalisation en amont de la STEU de Saint-</w:t>
      </w:r>
      <w:proofErr w:type="spellStart"/>
      <w:r>
        <w:t>Gervasy</w:t>
      </w:r>
      <w:proofErr w:type="spellEnd"/>
      <w:r>
        <w:t xml:space="preserve">. Celle-ci est régulièrement en charge avec des remontées d’eaux dans les regards. </w:t>
      </w:r>
    </w:p>
    <w:p>
      <w:r>
        <w:t>L’objectif de l’action 11 est à la fois de raccorder directement les canalisations d’eaux usées de Saint-</w:t>
      </w:r>
      <w:proofErr w:type="spellStart"/>
      <w:r>
        <w:t>Gervasy</w:t>
      </w:r>
      <w:proofErr w:type="spellEnd"/>
      <w:r>
        <w:t xml:space="preserve"> sur la canalisation de transfert de Marguerittes et la suppression de la canalisation d’arrivée sur la STEU de Saint-</w:t>
      </w:r>
      <w:proofErr w:type="spellStart"/>
      <w:r>
        <w:t>Gervasy</w:t>
      </w:r>
      <w:proofErr w:type="spellEnd"/>
      <w:r>
        <w:t>.</w:t>
      </w:r>
    </w:p>
    <w:p>
      <w:pPr>
        <w:pStyle w:val="Retrait1"/>
        <w:tabs>
          <w:tab w:val="clear" w:pos="927"/>
        </w:tabs>
        <w:ind w:left="700" w:hanging="360"/>
      </w:pPr>
      <w:r>
        <w:t xml:space="preserve"> Indicateurs et ratios caractéristiques</w:t>
      </w:r>
    </w:p>
    <w:p>
      <w:pPr>
        <w:rPr>
          <w:lang w:eastAsia="x-none"/>
        </w:rPr>
      </w:pPr>
      <w:r>
        <w:rPr>
          <w:lang w:eastAsia="x-none"/>
        </w:rPr>
        <w:t>Sans objet.</w:t>
      </w:r>
    </w:p>
    <w:p>
      <w:pPr>
        <w:pStyle w:val="Retrait1"/>
        <w:tabs>
          <w:tab w:val="clear" w:pos="927"/>
        </w:tabs>
        <w:ind w:left="700" w:hanging="360"/>
      </w:pPr>
      <w:r>
        <w:t>Estimation du cout des travaux, priorités de réalisation</w:t>
      </w:r>
    </w:p>
    <w:p>
      <w:pPr>
        <w:keepNext/>
      </w:pPr>
      <w:r>
        <w:rPr>
          <w:noProof/>
        </w:rPr>
        <w:drawing>
          <wp:inline distT="0" distB="0" distL="0" distR="0">
            <wp:extent cx="5972810" cy="660400"/>
            <wp:effectExtent l="19050" t="19050" r="27940" b="2540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5972810" cy="660400"/>
                    </a:xfrm>
                    <a:prstGeom prst="rect">
                      <a:avLst/>
                    </a:prstGeom>
                    <a:ln>
                      <a:solidFill>
                        <a:schemeClr val="tx1"/>
                      </a:solidFill>
                    </a:ln>
                  </pic:spPr>
                </pic:pic>
              </a:graphicData>
            </a:graphic>
          </wp:inline>
        </w:drawing>
      </w:r>
      <w:r>
        <w:t xml:space="preserve">      </w:t>
      </w:r>
    </w:p>
    <w:p>
      <w:pPr>
        <w:pStyle w:val="Lgende"/>
      </w:pPr>
      <w:r>
        <w:t>Action 11 - estimation du coût des travaux et priorité de réalisation</w:t>
      </w:r>
    </w:p>
    <w:p>
      <w:pPr>
        <w:pStyle w:val="Titre2"/>
      </w:pPr>
      <w:bookmarkStart w:id="92" w:name="_Toc92700783"/>
      <w:r>
        <w:t>Thématique 6 : Mise en place d'une gestion patrimoniale</w:t>
      </w:r>
      <w:bookmarkEnd w:id="88"/>
      <w:bookmarkEnd w:id="92"/>
    </w:p>
    <w:p>
      <w:pPr>
        <w:pStyle w:val="Titre3"/>
      </w:pPr>
      <w:bookmarkStart w:id="93" w:name="_Toc46480291"/>
      <w:bookmarkStart w:id="94" w:name="_Toc92700784"/>
      <w:r>
        <w:t>Action n°12 : Mise en place d’un diagnostic permanent</w:t>
      </w:r>
      <w:bookmarkEnd w:id="93"/>
      <w:bookmarkEnd w:id="94"/>
    </w:p>
    <w:p>
      <w:r>
        <w:t>L’objectif d’un schéma directeur est d’inscrire l’exploitation du réseau et de ces équipements dans une logique durable et de long terme. La mise en place d’un diagnostic permanent vise à mieux comprendre le fonctionnement du réseau pour prévenir les insuffisances actuelles et futures. Ce diagnostic permanent est destiné à :</w:t>
      </w:r>
    </w:p>
    <w:p>
      <w:pPr>
        <w:pStyle w:val="Retrait20"/>
        <w:numPr>
          <w:ilvl w:val="0"/>
          <w:numId w:val="25"/>
        </w:numPr>
        <w:tabs>
          <w:tab w:val="clear" w:pos="928"/>
          <w:tab w:val="num" w:pos="1324"/>
        </w:tabs>
        <w:ind w:left="964" w:hanging="284"/>
      </w:pPr>
      <w:r>
        <w:t>Connaître, en continu, le fonctionnement et l'état structurel du système d'assainissement ;</w:t>
      </w:r>
    </w:p>
    <w:p>
      <w:pPr>
        <w:pStyle w:val="Retrait20"/>
        <w:numPr>
          <w:ilvl w:val="0"/>
          <w:numId w:val="25"/>
        </w:numPr>
        <w:tabs>
          <w:tab w:val="clear" w:pos="928"/>
          <w:tab w:val="num" w:pos="1324"/>
        </w:tabs>
        <w:ind w:left="964" w:hanging="284"/>
      </w:pPr>
      <w:r>
        <w:t>Prévenir ou identifier dans les meilleurs délais les dysfonctionnements de ce système ;</w:t>
      </w:r>
    </w:p>
    <w:p>
      <w:pPr>
        <w:pStyle w:val="Retrait20"/>
        <w:numPr>
          <w:ilvl w:val="0"/>
          <w:numId w:val="25"/>
        </w:numPr>
        <w:tabs>
          <w:tab w:val="clear" w:pos="928"/>
          <w:tab w:val="num" w:pos="1324"/>
        </w:tabs>
        <w:ind w:left="964" w:hanging="284"/>
      </w:pPr>
      <w:r>
        <w:t>Suivre et évaluer l'efficacité des actions préventives ou correctrices engagées ;</w:t>
      </w:r>
    </w:p>
    <w:p>
      <w:pPr>
        <w:pStyle w:val="Retrait20"/>
        <w:numPr>
          <w:ilvl w:val="0"/>
          <w:numId w:val="25"/>
        </w:numPr>
        <w:tabs>
          <w:tab w:val="clear" w:pos="928"/>
          <w:tab w:val="num" w:pos="1324"/>
        </w:tabs>
        <w:ind w:left="964" w:hanging="284"/>
      </w:pPr>
      <w:r>
        <w:t>Exploiter le système d'assainissement dans une logique d'amélioration continue</w:t>
      </w:r>
    </w:p>
    <w:p>
      <w:r>
        <w:t>Le contenu de ce diagnostic permanent est adapté aux caractéristiques et au fonctionnement du système d'assainissement, ainsi qu'à l'impact de ses rejets sur le milieu récepteur. Suivant les besoins et enjeux propres au système, ce diagnostic peut notamment porter sur les points suivants :</w:t>
      </w:r>
    </w:p>
    <w:p>
      <w:pPr>
        <w:pStyle w:val="Retrait20"/>
        <w:numPr>
          <w:ilvl w:val="0"/>
          <w:numId w:val="25"/>
        </w:numPr>
        <w:tabs>
          <w:tab w:val="clear" w:pos="928"/>
          <w:tab w:val="num" w:pos="1324"/>
        </w:tabs>
        <w:ind w:left="964" w:hanging="284"/>
      </w:pPr>
      <w:r>
        <w:t>La gestion des entrants dans le système d'assainissement : connaissance, contrôle et suivi des raccordements domestiques et non domestiques ;</w:t>
      </w:r>
    </w:p>
    <w:p>
      <w:pPr>
        <w:pStyle w:val="Retrait20"/>
        <w:numPr>
          <w:ilvl w:val="0"/>
          <w:numId w:val="25"/>
        </w:numPr>
        <w:tabs>
          <w:tab w:val="clear" w:pos="928"/>
          <w:tab w:val="num" w:pos="1324"/>
        </w:tabs>
        <w:ind w:left="964" w:hanging="284"/>
      </w:pPr>
      <w:r>
        <w:t>L'entretien et la surveillance de l'état structurel du réseau : inspections visuelles ou télévisuelles des ouvrages du système de collecte ;</w:t>
      </w:r>
    </w:p>
    <w:p>
      <w:pPr>
        <w:pStyle w:val="Retrait20"/>
        <w:numPr>
          <w:ilvl w:val="0"/>
          <w:numId w:val="25"/>
        </w:numPr>
        <w:tabs>
          <w:tab w:val="clear" w:pos="928"/>
          <w:tab w:val="num" w:pos="1324"/>
        </w:tabs>
        <w:ind w:left="964" w:hanging="284"/>
      </w:pPr>
      <w:r>
        <w:t>La gestion des flux collectés/transportés et des rejets vers le milieu naturel : installation d'équipements métrologiques et traitement/analyse/valorisation des données obtenues ;</w:t>
      </w:r>
    </w:p>
    <w:p>
      <w:pPr>
        <w:pStyle w:val="Retrait0Bleu"/>
      </w:pPr>
      <w:bookmarkStart w:id="95" w:name="_Toc54170605"/>
      <w:bookmarkStart w:id="96" w:name="_Toc42525108"/>
      <w:bookmarkStart w:id="97" w:name="_Toc37077885"/>
      <w:proofErr w:type="spellStart"/>
      <w:r>
        <w:t>Autosurveillance</w:t>
      </w:r>
      <w:proofErr w:type="spellEnd"/>
      <w:r>
        <w:t xml:space="preserve"> du système de collecte</w:t>
      </w:r>
      <w:bookmarkEnd w:id="95"/>
      <w:bookmarkEnd w:id="96"/>
      <w:bookmarkEnd w:id="97"/>
    </w:p>
    <w:p>
      <w:r>
        <w:t xml:space="preserve">L’arrêté du 31 juillet 2020 précise les critères qui imposent une </w:t>
      </w:r>
      <w:proofErr w:type="spellStart"/>
      <w:r>
        <w:t>autosurveillance</w:t>
      </w:r>
      <w:proofErr w:type="spellEnd"/>
      <w:r>
        <w:t xml:space="preserve"> des systèmes de collecte des eaux usées.</w:t>
      </w:r>
    </w:p>
    <w:p>
      <w:r>
        <w:t>Rappel : Art 17 de l’arrêté du 31 juillet 2020 :</w:t>
      </w:r>
    </w:p>
    <w:p>
      <w:r>
        <w:t xml:space="preserve">« sont soumis à cette </w:t>
      </w:r>
      <w:proofErr w:type="spellStart"/>
      <w:r>
        <w:t>autosurveillance</w:t>
      </w:r>
      <w:proofErr w:type="spellEnd"/>
      <w:r>
        <w:t xml:space="preserve"> les déversoirs d’orage situés à l’aval d’un tronçon destiné à collecter une charge brute de pollution organique par temps sec supérieure ou égale à 120kg/j de DBO</w:t>
      </w:r>
      <w:r>
        <w:rPr>
          <w:vertAlign w:val="subscript"/>
        </w:rPr>
        <w:t>5</w:t>
      </w:r>
      <w:r>
        <w:t>. Cette surveillance consiste à mesurer le temps de déversement journalier et estimer les débits déversés par les déversoirs d’orage surveillés. […] Les trop-pleins équipant un système de collecte séparatif et situés à l'aval d'un tronçon destiné à collecter une charge brute de pollution organique par temps sec supérieure ou égale à 120kg/j de DBO</w:t>
      </w:r>
      <w:r>
        <w:rPr>
          <w:vertAlign w:val="subscript"/>
        </w:rPr>
        <w:t>5</w:t>
      </w:r>
      <w:r>
        <w:t xml:space="preserve"> font l'objet d'une surveillance consistant à mesurer le temps de déversement journalier. »</w:t>
      </w:r>
    </w:p>
    <w:p>
      <w:bookmarkStart w:id="98" w:name="_Toc54170606"/>
      <w:bookmarkStart w:id="99" w:name="_Toc42525109"/>
      <w:bookmarkStart w:id="100" w:name="_Toc37077886"/>
    </w:p>
    <w:p>
      <w:pPr>
        <w:spacing w:before="0"/>
        <w:jc w:val="left"/>
        <w:rPr>
          <w:rFonts w:cs="Arial"/>
          <w:b/>
        </w:rPr>
      </w:pPr>
      <w:r>
        <w:br w:type="page"/>
      </w:r>
    </w:p>
    <w:p>
      <w:pPr>
        <w:pStyle w:val="Retrait1"/>
      </w:pPr>
      <w:r>
        <w:lastRenderedPageBreak/>
        <w:t>Les postes de relevage</w:t>
      </w:r>
      <w:bookmarkEnd w:id="98"/>
      <w:bookmarkEnd w:id="99"/>
      <w:bookmarkEnd w:id="100"/>
    </w:p>
    <w:p>
      <w:r>
        <w:t>Sur la commune de Saint-</w:t>
      </w:r>
      <w:proofErr w:type="spellStart"/>
      <w:r>
        <w:t>Gervasy</w:t>
      </w:r>
      <w:proofErr w:type="spellEnd"/>
      <w:r>
        <w:t>, les charges brutes journalières transitant par le poste de relevage se trouvent dans le tableau suivant :</w:t>
      </w:r>
    </w:p>
    <w:p>
      <w:pPr>
        <w:rPr>
          <w:sz w:val="4"/>
          <w:szCs w:val="4"/>
        </w:rPr>
      </w:pPr>
    </w:p>
    <w:tbl>
      <w:tblPr>
        <w:tblW w:w="0" w:type="auto"/>
        <w:tblInd w:w="250" w:type="dxa"/>
        <w:tblLayout w:type="fixed"/>
        <w:tblLook w:val="04A0" w:firstRow="1" w:lastRow="0" w:firstColumn="1" w:lastColumn="0" w:noHBand="0" w:noVBand="1"/>
      </w:tblPr>
      <w:tblGrid>
        <w:gridCol w:w="2268"/>
        <w:gridCol w:w="1467"/>
        <w:gridCol w:w="1793"/>
        <w:gridCol w:w="1560"/>
        <w:gridCol w:w="1240"/>
        <w:gridCol w:w="1240"/>
      </w:tblGrid>
      <w:tr>
        <w:tc>
          <w:tcPr>
            <w:tcW w:w="2268" w:type="dxa"/>
            <w:tcBorders>
              <w:top w:val="single" w:sz="4" w:space="0" w:color="auto"/>
              <w:left w:val="single" w:sz="4" w:space="0" w:color="auto"/>
              <w:bottom w:val="single" w:sz="4" w:space="0" w:color="auto"/>
              <w:right w:val="single" w:sz="4" w:space="0" w:color="auto"/>
            </w:tcBorders>
            <w:shd w:val="clear" w:color="auto" w:fill="8DB3E2" w:themeFill="text2" w:themeFillTint="66"/>
            <w:hideMark/>
          </w:tcPr>
          <w:p>
            <w:pPr>
              <w:rPr>
                <w:b/>
                <w:color w:val="FFFFFF" w:themeColor="background1"/>
              </w:rPr>
            </w:pPr>
            <w:r>
              <w:rPr>
                <w:b/>
                <w:color w:val="FFFFFF" w:themeColor="background1"/>
              </w:rPr>
              <w:t>Site</w:t>
            </w:r>
          </w:p>
        </w:tc>
        <w:tc>
          <w:tcPr>
            <w:tcW w:w="1467" w:type="dxa"/>
            <w:tcBorders>
              <w:top w:val="single" w:sz="4" w:space="0" w:color="auto"/>
              <w:left w:val="single" w:sz="4" w:space="0" w:color="auto"/>
              <w:bottom w:val="single" w:sz="4" w:space="0" w:color="auto"/>
              <w:right w:val="single" w:sz="4" w:space="0" w:color="auto"/>
            </w:tcBorders>
            <w:shd w:val="clear" w:color="auto" w:fill="8DB3E2" w:themeFill="text2" w:themeFillTint="66"/>
            <w:hideMark/>
          </w:tcPr>
          <w:p>
            <w:pPr>
              <w:jc w:val="center"/>
              <w:rPr>
                <w:b/>
                <w:color w:val="FFFFFF" w:themeColor="background1"/>
              </w:rPr>
            </w:pPr>
            <w:r>
              <w:rPr>
                <w:b/>
                <w:color w:val="FFFFFF" w:themeColor="background1"/>
              </w:rPr>
              <w:t>Année de mise en service</w:t>
            </w:r>
          </w:p>
        </w:tc>
        <w:tc>
          <w:tcPr>
            <w:tcW w:w="1793" w:type="dxa"/>
            <w:tcBorders>
              <w:top w:val="single" w:sz="4" w:space="0" w:color="auto"/>
              <w:left w:val="single" w:sz="4" w:space="0" w:color="auto"/>
              <w:bottom w:val="single" w:sz="4" w:space="0" w:color="auto"/>
              <w:right w:val="single" w:sz="4" w:space="0" w:color="auto"/>
            </w:tcBorders>
            <w:shd w:val="clear" w:color="auto" w:fill="8DB3E2" w:themeFill="text2" w:themeFillTint="66"/>
            <w:hideMark/>
          </w:tcPr>
          <w:p>
            <w:pPr>
              <w:jc w:val="center"/>
              <w:rPr>
                <w:b/>
                <w:color w:val="FFFFFF" w:themeColor="background1"/>
              </w:rPr>
            </w:pPr>
            <w:r>
              <w:rPr>
                <w:b/>
                <w:color w:val="FFFFFF" w:themeColor="background1"/>
              </w:rPr>
              <w:t>Caractéristiques</w:t>
            </w:r>
          </w:p>
        </w:tc>
        <w:tc>
          <w:tcPr>
            <w:tcW w:w="1560" w:type="dxa"/>
            <w:tcBorders>
              <w:top w:val="single" w:sz="4" w:space="0" w:color="auto"/>
              <w:left w:val="single" w:sz="4" w:space="0" w:color="auto"/>
              <w:bottom w:val="single" w:sz="4" w:space="0" w:color="auto"/>
              <w:right w:val="single" w:sz="4" w:space="0" w:color="auto"/>
            </w:tcBorders>
            <w:shd w:val="clear" w:color="auto" w:fill="8DB3E2" w:themeFill="text2" w:themeFillTint="66"/>
            <w:hideMark/>
          </w:tcPr>
          <w:p>
            <w:pPr>
              <w:jc w:val="center"/>
              <w:rPr>
                <w:b/>
                <w:color w:val="FFFFFF" w:themeColor="background1"/>
              </w:rPr>
            </w:pPr>
            <w:r>
              <w:rPr>
                <w:b/>
                <w:color w:val="FFFFFF" w:themeColor="background1"/>
              </w:rPr>
              <w:t>Télésurveillance</w:t>
            </w:r>
          </w:p>
        </w:tc>
        <w:tc>
          <w:tcPr>
            <w:tcW w:w="1240" w:type="dxa"/>
            <w:tcBorders>
              <w:top w:val="single" w:sz="4" w:space="0" w:color="auto"/>
              <w:left w:val="single" w:sz="4" w:space="0" w:color="auto"/>
              <w:bottom w:val="single" w:sz="4" w:space="0" w:color="auto"/>
              <w:right w:val="single" w:sz="4" w:space="0" w:color="auto"/>
            </w:tcBorders>
            <w:shd w:val="clear" w:color="auto" w:fill="8DB3E2" w:themeFill="text2" w:themeFillTint="66"/>
          </w:tcPr>
          <w:p>
            <w:pPr>
              <w:jc w:val="center"/>
              <w:rPr>
                <w:b/>
                <w:color w:val="FFFFFF" w:themeColor="background1"/>
              </w:rPr>
            </w:pPr>
            <w:r>
              <w:rPr>
                <w:b/>
                <w:color w:val="FFFFFF" w:themeColor="background1"/>
              </w:rPr>
              <w:t>Charges théoriques</w:t>
            </w:r>
          </w:p>
        </w:tc>
        <w:tc>
          <w:tcPr>
            <w:tcW w:w="1240" w:type="dxa"/>
            <w:tcBorders>
              <w:top w:val="single" w:sz="4" w:space="0" w:color="auto"/>
              <w:left w:val="single" w:sz="4" w:space="0" w:color="auto"/>
              <w:bottom w:val="single" w:sz="4" w:space="0" w:color="auto"/>
              <w:right w:val="single" w:sz="4" w:space="0" w:color="auto"/>
            </w:tcBorders>
            <w:shd w:val="clear" w:color="auto" w:fill="8DB3E2" w:themeFill="text2" w:themeFillTint="66"/>
            <w:hideMark/>
          </w:tcPr>
          <w:p>
            <w:pPr>
              <w:jc w:val="center"/>
              <w:rPr>
                <w:b/>
                <w:color w:val="FFFFFF" w:themeColor="background1"/>
              </w:rPr>
            </w:pPr>
            <w:r>
              <w:rPr>
                <w:b/>
                <w:color w:val="FFFFFF" w:themeColor="background1"/>
              </w:rPr>
              <w:t>Trop plein</w:t>
            </w:r>
          </w:p>
        </w:tc>
      </w:tr>
      <w:tr>
        <w:tc>
          <w:tcPr>
            <w:tcW w:w="2268" w:type="dxa"/>
            <w:tcBorders>
              <w:top w:val="single" w:sz="4" w:space="0" w:color="auto"/>
              <w:left w:val="single" w:sz="4" w:space="0" w:color="auto"/>
              <w:bottom w:val="single" w:sz="4" w:space="0" w:color="auto"/>
              <w:right w:val="single" w:sz="4" w:space="0" w:color="auto"/>
            </w:tcBorders>
            <w:hideMark/>
          </w:tcPr>
          <w:p>
            <w:pPr>
              <w:rPr>
                <w:b/>
              </w:rPr>
            </w:pPr>
            <w:r>
              <w:rPr>
                <w:b/>
              </w:rPr>
              <w:t>Picholines</w:t>
            </w:r>
          </w:p>
        </w:tc>
        <w:tc>
          <w:tcPr>
            <w:tcW w:w="1467" w:type="dxa"/>
            <w:tcBorders>
              <w:top w:val="single" w:sz="4" w:space="0" w:color="auto"/>
              <w:left w:val="single" w:sz="4" w:space="0" w:color="auto"/>
              <w:bottom w:val="single" w:sz="4" w:space="0" w:color="auto"/>
              <w:right w:val="single" w:sz="4" w:space="0" w:color="auto"/>
            </w:tcBorders>
          </w:tcPr>
          <w:p>
            <w:pPr>
              <w:jc w:val="center"/>
            </w:pPr>
            <w:r>
              <w:t>2005</w:t>
            </w:r>
          </w:p>
        </w:tc>
        <w:tc>
          <w:tcPr>
            <w:tcW w:w="1793" w:type="dxa"/>
            <w:tcBorders>
              <w:top w:val="single" w:sz="4" w:space="0" w:color="auto"/>
              <w:left w:val="single" w:sz="4" w:space="0" w:color="auto"/>
              <w:bottom w:val="single" w:sz="4" w:space="0" w:color="auto"/>
              <w:right w:val="single" w:sz="4" w:space="0" w:color="auto"/>
            </w:tcBorders>
            <w:hideMark/>
          </w:tcPr>
          <w:p>
            <w:pPr>
              <w:jc w:val="center"/>
            </w:pPr>
            <w:r>
              <w:t>2 groupes – 10 m</w:t>
            </w:r>
            <w:r>
              <w:rPr>
                <w:vertAlign w:val="superscript"/>
              </w:rPr>
              <w:t>3</w:t>
            </w:r>
            <w:r>
              <w:t>/h</w:t>
            </w:r>
          </w:p>
        </w:tc>
        <w:tc>
          <w:tcPr>
            <w:tcW w:w="1560" w:type="dxa"/>
            <w:tcBorders>
              <w:top w:val="single" w:sz="4" w:space="0" w:color="auto"/>
              <w:left w:val="single" w:sz="4" w:space="0" w:color="auto"/>
              <w:bottom w:val="single" w:sz="4" w:space="0" w:color="auto"/>
              <w:right w:val="single" w:sz="4" w:space="0" w:color="auto"/>
            </w:tcBorders>
            <w:hideMark/>
          </w:tcPr>
          <w:p>
            <w:pPr>
              <w:jc w:val="center"/>
            </w:pPr>
            <w:proofErr w:type="spellStart"/>
            <w:r>
              <w:t>Sofrel</w:t>
            </w:r>
            <w:proofErr w:type="spellEnd"/>
            <w:r>
              <w:t xml:space="preserve"> S550</w:t>
            </w:r>
          </w:p>
        </w:tc>
        <w:tc>
          <w:tcPr>
            <w:tcW w:w="1240" w:type="dxa"/>
            <w:tcBorders>
              <w:top w:val="single" w:sz="4" w:space="0" w:color="auto"/>
              <w:left w:val="single" w:sz="4" w:space="0" w:color="auto"/>
              <w:bottom w:val="single" w:sz="4" w:space="0" w:color="auto"/>
              <w:right w:val="single" w:sz="4" w:space="0" w:color="auto"/>
            </w:tcBorders>
          </w:tcPr>
          <w:p>
            <w:pPr>
              <w:jc w:val="center"/>
            </w:pPr>
            <w:r>
              <w:t>2,4 kgDBO</w:t>
            </w:r>
            <w:r>
              <w:rPr>
                <w:vertAlign w:val="subscript"/>
              </w:rPr>
              <w:t>5</w:t>
            </w:r>
            <w:r>
              <w:t>/j</w:t>
            </w:r>
          </w:p>
        </w:tc>
        <w:tc>
          <w:tcPr>
            <w:tcW w:w="1240" w:type="dxa"/>
            <w:tcBorders>
              <w:top w:val="single" w:sz="4" w:space="0" w:color="auto"/>
              <w:left w:val="single" w:sz="4" w:space="0" w:color="auto"/>
              <w:bottom w:val="single" w:sz="4" w:space="0" w:color="auto"/>
              <w:right w:val="single" w:sz="4" w:space="0" w:color="auto"/>
            </w:tcBorders>
            <w:hideMark/>
          </w:tcPr>
          <w:p>
            <w:pPr>
              <w:jc w:val="center"/>
            </w:pPr>
            <w:r>
              <w:t>Non</w:t>
            </w:r>
          </w:p>
        </w:tc>
      </w:tr>
    </w:tbl>
    <w:p>
      <w:pPr>
        <w:pStyle w:val="Lgende"/>
        <w:jc w:val="center"/>
        <w:rPr>
          <w:szCs w:val="20"/>
        </w:rPr>
      </w:pPr>
      <w:bookmarkStart w:id="101" w:name="_Toc47096678"/>
      <w:r>
        <w:rPr>
          <w:szCs w:val="20"/>
        </w:rPr>
        <w:t>Inventaire du Poste de refoulement</w:t>
      </w:r>
      <w:bookmarkEnd w:id="101"/>
      <w:r>
        <w:t> </w:t>
      </w:r>
    </w:p>
    <w:p>
      <w:pPr>
        <w:spacing w:line="276" w:lineRule="auto"/>
      </w:pPr>
      <w:r>
        <w:t>Ce tableau indique qu’aucun poste de refoulement n’est soumis à l’</w:t>
      </w:r>
      <w:proofErr w:type="spellStart"/>
      <w:r>
        <w:t>autosurveillance</w:t>
      </w:r>
      <w:proofErr w:type="spellEnd"/>
      <w:r>
        <w:t xml:space="preserve"> car ils n’ont pas de trop plein. En effet, à l’heure actuelle, la mise en charge du poste entraîne une mise en charge des réseaux en amont.</w:t>
      </w:r>
    </w:p>
    <w:p>
      <w:pPr>
        <w:pStyle w:val="Retrait1"/>
      </w:pPr>
      <w:bookmarkStart w:id="102" w:name="_Toc54170607"/>
      <w:bookmarkStart w:id="103" w:name="_Toc42525110"/>
      <w:bookmarkStart w:id="104" w:name="_Toc37077887"/>
      <w:r>
        <w:t>La station de traitement des eaux usées</w:t>
      </w:r>
      <w:bookmarkEnd w:id="102"/>
      <w:bookmarkEnd w:id="103"/>
      <w:bookmarkEnd w:id="104"/>
    </w:p>
    <w:p>
      <w:pPr>
        <w:spacing w:line="276" w:lineRule="auto"/>
      </w:pPr>
      <w:r>
        <w:t xml:space="preserve">Le déversoir d’orage situé en amont de la STEP fait déjà l’objet d’une </w:t>
      </w:r>
      <w:proofErr w:type="spellStart"/>
      <w:r>
        <w:t>autosurveillance</w:t>
      </w:r>
      <w:proofErr w:type="spellEnd"/>
      <w:r>
        <w:t>. Les équipements de la station sont conformes aux obligations d’</w:t>
      </w:r>
      <w:proofErr w:type="spellStart"/>
      <w:r>
        <w:t>autosurveillance</w:t>
      </w:r>
      <w:proofErr w:type="spellEnd"/>
      <w:r>
        <w:t xml:space="preserve"> au sens de l’arrêté du 21 juillet 2015 (modifié par l’arrêté du 31 juillet 2020).</w:t>
      </w:r>
    </w:p>
    <w:p>
      <w:pPr>
        <w:pStyle w:val="Retrait0Bleu"/>
      </w:pPr>
      <w:bookmarkStart w:id="105" w:name="_Toc42525111"/>
      <w:bookmarkStart w:id="106" w:name="_Toc37077888"/>
      <w:bookmarkStart w:id="107" w:name="_Toc54170608"/>
      <w:r>
        <w:t>Conclusion sur l’</w:t>
      </w:r>
      <w:proofErr w:type="spellStart"/>
      <w:r>
        <w:t>autosurveillance</w:t>
      </w:r>
      <w:proofErr w:type="spellEnd"/>
      <w:r>
        <w:t xml:space="preserve"> des réseaux</w:t>
      </w:r>
      <w:bookmarkEnd w:id="105"/>
      <w:bookmarkEnd w:id="106"/>
      <w:r>
        <w:t xml:space="preserve"> et complétude du diagnostic permanent</w:t>
      </w:r>
      <w:bookmarkEnd w:id="107"/>
    </w:p>
    <w:p>
      <w:r>
        <w:t xml:space="preserve">Les réseaux des communes de </w:t>
      </w:r>
      <w:proofErr w:type="spellStart"/>
      <w:r>
        <w:t>Bezouce</w:t>
      </w:r>
      <w:proofErr w:type="spellEnd"/>
      <w:r>
        <w:t xml:space="preserve"> et Saint-</w:t>
      </w:r>
      <w:proofErr w:type="spellStart"/>
      <w:r>
        <w:t>Gervasy</w:t>
      </w:r>
      <w:proofErr w:type="spellEnd"/>
      <w:r>
        <w:t xml:space="preserve"> sont conformes à l’arrêté du 31 juillet 2020. Les déversoirs qui reçoivent plus de 120 kg/j de DBO</w:t>
      </w:r>
      <w:r>
        <w:rPr>
          <w:vertAlign w:val="subscript"/>
        </w:rPr>
        <w:t>5</w:t>
      </w:r>
      <w:r>
        <w:t xml:space="preserve"> sont déjà soumis à </w:t>
      </w:r>
      <w:proofErr w:type="spellStart"/>
      <w:r>
        <w:t>autosurveillance</w:t>
      </w:r>
      <w:proofErr w:type="spellEnd"/>
      <w:r>
        <w:t>. Néanmoins, il est conseillé de mettre en place un certain nombre de points de mesures permanents sur le réseau. Ces mesures permettront de mieux appréhender les secteurs présentant des surcharges hydrauliques.</w:t>
      </w:r>
    </w:p>
    <w:p>
      <w:pPr>
        <w:pStyle w:val="Retrait1"/>
        <w:numPr>
          <w:ilvl w:val="0"/>
          <w:numId w:val="26"/>
        </w:numPr>
        <w:tabs>
          <w:tab w:val="clear" w:pos="927"/>
        </w:tabs>
        <w:ind w:left="700" w:hanging="360"/>
      </w:pPr>
      <w:r>
        <w:t>Mise en place de points de mesure permanents pour le suivi des charges hydrauliques</w:t>
      </w:r>
    </w:p>
    <w:p>
      <w:r>
        <w:t>La mise en place de points de mesure permanents est recommandée dans le cadre de l’</w:t>
      </w:r>
      <w:proofErr w:type="spellStart"/>
      <w:r>
        <w:t>autosurveillance</w:t>
      </w:r>
      <w:proofErr w:type="spellEnd"/>
      <w:r>
        <w:t xml:space="preserve"> du réseau de Saint- </w:t>
      </w:r>
      <w:proofErr w:type="spellStart"/>
      <w:r>
        <w:t>Gervasy</w:t>
      </w:r>
      <w:proofErr w:type="spellEnd"/>
      <w:r>
        <w:t xml:space="preserve">. Ces points pourraient se situer sur le réseau en aval de chaque commune. Ils seraient situés au niveau des regards 6300,  5606 et 2856 sur le SIG. La mesure des charges hydrauliques au niveau de ces points permettrait de sectoriser la commune de </w:t>
      </w:r>
      <w:proofErr w:type="spellStart"/>
      <w:r>
        <w:t>Bezouce</w:t>
      </w:r>
      <w:proofErr w:type="spellEnd"/>
      <w:r>
        <w:t xml:space="preserve"> et celle de Saint-</w:t>
      </w:r>
      <w:proofErr w:type="spellStart"/>
      <w:r>
        <w:t>Gervasy</w:t>
      </w:r>
      <w:proofErr w:type="spellEnd"/>
      <w:r>
        <w:t>. Le dispositif préconisé est de type hauteur-vitesse.</w:t>
      </w:r>
    </w:p>
    <w:p>
      <w:pPr>
        <w:keepNext/>
        <w:spacing w:before="0"/>
        <w:jc w:val="center"/>
      </w:pPr>
      <w:r>
        <w:rPr>
          <w:noProof/>
        </w:rPr>
        <mc:AlternateContent>
          <mc:Choice Requires="wps">
            <w:drawing>
              <wp:anchor distT="0" distB="0" distL="114300" distR="114300" simplePos="0" relativeHeight="251634688" behindDoc="0" locked="0" layoutInCell="1" allowOverlap="1">
                <wp:simplePos x="0" y="0"/>
                <wp:positionH relativeFrom="column">
                  <wp:posOffset>4805680</wp:posOffset>
                </wp:positionH>
                <wp:positionV relativeFrom="paragraph">
                  <wp:posOffset>2734310</wp:posOffset>
                </wp:positionV>
                <wp:extent cx="842645" cy="451485"/>
                <wp:effectExtent l="0" t="0" r="0" b="5715"/>
                <wp:wrapNone/>
                <wp:docPr id="2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2645" cy="451485"/>
                        </a:xfrm>
                        <a:prstGeom prst="rect">
                          <a:avLst/>
                        </a:prstGeom>
                        <a:solidFill>
                          <a:srgbClr val="FFFFFF"/>
                        </a:solidFill>
                        <a:ln w="9525">
                          <a:noFill/>
                          <a:miter lim="800000"/>
                          <a:headEnd/>
                          <a:tailEnd/>
                        </a:ln>
                      </wps:spPr>
                      <wps:txbx>
                        <w:txbxContent>
                          <w:p>
                            <w:r>
                              <w:t>Regard 6300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44" type="#_x0000_t202" style="position:absolute;left:0;text-align:left;margin-left:378.4pt;margin-top:215.3pt;width:66.35pt;height:35.55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" stroked="f">
                <v:textbox>
                  <w:txbxContent>
                    <w:p>
                      <w:r>
                        <w:t>Regard 6300</w:t>
                      </w:r>
                    </w:p>
                  </w:txbxContent>
                </v:textbox>
              </v:shape>
            </w:pict>
          </mc:Fallback>
        </mc:AlternateContent>
      </w:r>
      <w:r>
        <w:rPr>
          <w:noProof/>
        </w:rPr>
        <mc:AlternateContent>
          <mc:Choice Requires="wps">
            <w:drawing>
              <wp:anchor distT="0" distB="0" distL="114300" distR="114300" simplePos="0" relativeHeight="251695104" behindDoc="0" locked="0" layoutInCell="1" allowOverlap="1">
                <wp:simplePos x="0" y="0"/>
                <wp:positionH relativeFrom="column">
                  <wp:posOffset>198755</wp:posOffset>
                </wp:positionH>
                <wp:positionV relativeFrom="paragraph">
                  <wp:posOffset>3665220</wp:posOffset>
                </wp:positionV>
                <wp:extent cx="828040" cy="451485"/>
                <wp:effectExtent l="0" t="0" r="0" b="5715"/>
                <wp:wrapNone/>
                <wp:docPr id="2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8040" cy="451485"/>
                        </a:xfrm>
                        <a:prstGeom prst="rect">
                          <a:avLst/>
                        </a:prstGeom>
                        <a:solidFill>
                          <a:srgbClr val="FFFFFF"/>
                        </a:solidFill>
                        <a:ln w="9525">
                          <a:noFill/>
                          <a:miter lim="800000"/>
                          <a:headEnd/>
                          <a:tailEnd/>
                        </a:ln>
                      </wps:spPr>
                      <wps:txbx>
                        <w:txbxContent>
                          <w:p>
                            <w:r>
                              <w:t>Regard 2856</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45" type="#_x0000_t202" style="position:absolute;left:0;text-align:left;margin-left:15.65pt;margin-top:288.6pt;width:65.2pt;height:35.5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" stroked="f">
                <v:textbox>
                  <w:txbxContent>
                    <w:p>
                      <w:r>
                        <w:t>Regard 2856</w:t>
                      </w:r>
                    </w:p>
                  </w:txbxContent>
                </v:textbox>
              </v:shape>
            </w:pict>
          </mc:Fallback>
        </mc:AlternateContent>
      </w:r>
      <w:r>
        <w:rPr>
          <w:noProof/>
        </w:rPr>
        <mc:AlternateContent>
          <mc:Choice Requires="wps">
            <w:drawing>
              <wp:anchor distT="0" distB="0" distL="114300" distR="114300" simplePos="0" relativeHeight="251694080" behindDoc="0" locked="0" layoutInCell="1" allowOverlap="1">
                <wp:simplePos x="0" y="0"/>
                <wp:positionH relativeFrom="column">
                  <wp:posOffset>990545</wp:posOffset>
                </wp:positionH>
                <wp:positionV relativeFrom="paragraph">
                  <wp:posOffset>3529192</wp:posOffset>
                </wp:positionV>
                <wp:extent cx="269240" cy="326335"/>
                <wp:effectExtent l="19050" t="38100" r="54610" b="17145"/>
                <wp:wrapNone/>
                <wp:docPr id="1369" name="Connecteur droit avec flèche 1369"/>
                <wp:cNvGraphicFramePr/>
                <a:graphic xmlns:a="http://schemas.openxmlformats.org/drawingml/2006/main">
                  <a:graphicData uri="http://schemas.microsoft.com/office/word/2010/wordprocessingShape">
                    <wps:wsp>
                      <wps:cNvCnPr/>
                      <wps:spPr>
                        <a:xfrm flipV="1">
                          <a:off x="0" y="0"/>
                          <a:ext cx="269240" cy="326335"/>
                        </a:xfrm>
                        <a:prstGeom prst="straightConnector1">
                          <a:avLst/>
                        </a:prstGeom>
                        <a:ln w="38100">
                          <a:solidFill>
                            <a:srgbClr val="FF000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Connecteur droit avec flèche 1369" o:spid="_x0000_s1026" type="#_x0000_t32" style="position:absolute;margin-left:78pt;margin-top:277.9pt;width:21.2pt;height:25.7pt;flip:y;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" strokecolor="red" strokeweight="3pt">
                <v:stroke endarrow="block"/>
              </v:shape>
            </w:pict>
          </mc:Fallback>
        </mc:AlternateContent>
      </w:r>
      <w:r>
        <w:rPr>
          <w:noProof/>
        </w:rPr>
        <mc:AlternateContent>
          <mc:Choice Requires="wps">
            <w:drawing>
              <wp:anchor distT="0" distB="0" distL="114300" distR="114300" simplePos="0" relativeHeight="251633664" behindDoc="0" locked="0" layoutInCell="1" allowOverlap="1">
                <wp:simplePos x="0" y="0"/>
                <wp:positionH relativeFrom="column">
                  <wp:posOffset>1689100</wp:posOffset>
                </wp:positionH>
                <wp:positionV relativeFrom="paragraph">
                  <wp:posOffset>3185795</wp:posOffset>
                </wp:positionV>
                <wp:extent cx="436880" cy="302895"/>
                <wp:effectExtent l="38100" t="19050" r="20320" b="40005"/>
                <wp:wrapNone/>
                <wp:docPr id="12" name="Connecteur droit avec flèche 12"/>
                <wp:cNvGraphicFramePr/>
                <a:graphic xmlns:a="http://schemas.openxmlformats.org/drawingml/2006/main">
                  <a:graphicData uri="http://schemas.microsoft.com/office/word/2010/wordprocessingShape">
                    <wps:wsp>
                      <wps:cNvCnPr/>
                      <wps:spPr>
                        <a:xfrm flipH="1">
                          <a:off x="0" y="0"/>
                          <a:ext cx="436880" cy="302895"/>
                        </a:xfrm>
                        <a:prstGeom prst="straightConnector1">
                          <a:avLst/>
                        </a:prstGeom>
                        <a:ln w="38100">
                          <a:solidFill>
                            <a:srgbClr val="FF000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Connecteur droit avec flèche 12" o:spid="_x0000_s1026" type="#_x0000_t32" style="position:absolute;margin-left:133pt;margin-top:250.85pt;width:34.4pt;height:23.85pt;flip:x;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" strokecolor="red" strokeweight="3pt">
                <v:stroke endarrow="block"/>
              </v:shape>
            </w:pict>
          </mc:Fallback>
        </mc:AlternateContent>
      </w:r>
      <w:r>
        <w:rPr>
          <w:noProof/>
        </w:rPr>
        <mc:AlternateContent>
          <mc:Choice Requires="wps">
            <w:drawing>
              <wp:anchor distT="0" distB="0" distL="114300" distR="114300" simplePos="0" relativeHeight="251693056" behindDoc="0" locked="0" layoutInCell="1" allowOverlap="1">
                <wp:simplePos x="0" y="0"/>
                <wp:positionH relativeFrom="column">
                  <wp:posOffset>1824327</wp:posOffset>
                </wp:positionH>
                <wp:positionV relativeFrom="paragraph">
                  <wp:posOffset>2813907</wp:posOffset>
                </wp:positionV>
                <wp:extent cx="828040" cy="371972"/>
                <wp:effectExtent l="0" t="0" r="0" b="9525"/>
                <wp:wrapNone/>
                <wp:docPr id="136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8040" cy="371972"/>
                        </a:xfrm>
                        <a:prstGeom prst="rect">
                          <a:avLst/>
                        </a:prstGeom>
                        <a:solidFill>
                          <a:srgbClr val="FFFFFF"/>
                        </a:solidFill>
                        <a:ln w="9525">
                          <a:noFill/>
                          <a:miter lim="800000"/>
                          <a:headEnd/>
                          <a:tailEnd/>
                        </a:ln>
                      </wps:spPr>
                      <wps:txbx>
                        <w:txbxContent>
                          <w:p>
                            <w:r>
                              <w:t>Regard 5606</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46" type="#_x0000_t202" style="position:absolute;left:0;text-align:left;margin-left:143.65pt;margin-top:221.55pt;width:65.2pt;height:29.3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" stroked="f">
                <v:textbox>
                  <w:txbxContent>
                    <w:p>
                      <w:r>
                        <w:t>Regard 5606</w:t>
                      </w:r>
                    </w:p>
                  </w:txbxContent>
                </v:textbox>
              </v:shape>
            </w:pict>
          </mc:Fallback>
        </mc:AlternateContent>
      </w:r>
      <w:r>
        <w:rPr>
          <w:noProof/>
        </w:rPr>
        <mc:AlternateContent>
          <mc:Choice Requires="wps">
            <w:drawing>
              <wp:anchor distT="0" distB="0" distL="114300" distR="114300" simplePos="0" relativeHeight="251632640" behindDoc="0" locked="0" layoutInCell="1" allowOverlap="1">
                <wp:simplePos x="0" y="0"/>
                <wp:positionH relativeFrom="column">
                  <wp:posOffset>3541359</wp:posOffset>
                </wp:positionH>
                <wp:positionV relativeFrom="paragraph">
                  <wp:posOffset>2461381</wp:posOffset>
                </wp:positionV>
                <wp:extent cx="1259457" cy="491704"/>
                <wp:effectExtent l="0" t="57150" r="17145" b="22860"/>
                <wp:wrapNone/>
                <wp:docPr id="10" name="Connecteur droit avec flèche 10"/>
                <wp:cNvGraphicFramePr/>
                <a:graphic xmlns:a="http://schemas.openxmlformats.org/drawingml/2006/main">
                  <a:graphicData uri="http://schemas.microsoft.com/office/word/2010/wordprocessingShape">
                    <wps:wsp>
                      <wps:cNvCnPr/>
                      <wps:spPr>
                        <a:xfrm flipH="1" flipV="1">
                          <a:off x="0" y="0"/>
                          <a:ext cx="1259457" cy="491704"/>
                        </a:xfrm>
                        <a:prstGeom prst="straightConnector1">
                          <a:avLst/>
                        </a:prstGeom>
                        <a:ln w="38100">
                          <a:solidFill>
                            <a:srgbClr val="FF000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Connecteur droit avec flèche 10" o:spid="_x0000_s1026" type="#_x0000_t32" style="position:absolute;margin-left:278.85pt;margin-top:193.8pt;width:99.15pt;height:38.7pt;flip:x y;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" strokecolor="red" strokeweight="3pt">
                <v:stroke endarrow="block"/>
              </v:shape>
            </w:pict>
          </mc:Fallback>
        </mc:AlternateContent>
      </w:r>
      <w:r>
        <w:rPr>
          <w:noProof/>
        </w:rPr>
        <w:t xml:space="preserve"> </w:t>
      </w:r>
      <w:r>
        <w:rPr>
          <w:noProof/>
        </w:rPr>
        <w:drawing>
          <wp:inline distT="0" distB="0" distL="0" distR="0">
            <wp:extent cx="5736566" cy="4111226"/>
            <wp:effectExtent l="19050" t="19050" r="17145" b="22860"/>
            <wp:docPr id="1345" name="Image 1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742743" cy="4115653"/>
                    </a:xfrm>
                    <a:prstGeom prst="rect">
                      <a:avLst/>
                    </a:prstGeom>
                    <a:ln>
                      <a:solidFill>
                        <a:schemeClr val="tx1"/>
                      </a:solidFill>
                    </a:ln>
                  </pic:spPr>
                </pic:pic>
              </a:graphicData>
            </a:graphic>
          </wp:inline>
        </w:drawing>
      </w:r>
      <w:r>
        <w:rPr>
          <w:noProof/>
        </w:rPr>
        <w:t xml:space="preserve"> </w:t>
      </w:r>
    </w:p>
    <w:p>
      <w:pPr>
        <w:pStyle w:val="Lgende"/>
        <w:rPr>
          <w:szCs w:val="20"/>
        </w:rPr>
      </w:pPr>
      <w:bookmarkStart w:id="108" w:name="_Toc54170601"/>
      <w:r>
        <w:rPr>
          <w:szCs w:val="20"/>
        </w:rPr>
        <w:t xml:space="preserve">     Localisation des points de mesure permanents pour le suivi des charges hydrauliques</w:t>
      </w:r>
      <w:bookmarkEnd w:id="108"/>
    </w:p>
    <w:p>
      <w:pPr>
        <w:spacing w:before="0"/>
        <w:jc w:val="left"/>
        <w:rPr>
          <w:rFonts w:cs="Arial"/>
          <w:b/>
        </w:rPr>
      </w:pPr>
      <w:r>
        <w:br w:type="page"/>
      </w:r>
    </w:p>
    <w:p>
      <w:pPr>
        <w:pStyle w:val="Retrait1"/>
        <w:numPr>
          <w:ilvl w:val="0"/>
          <w:numId w:val="26"/>
        </w:numPr>
        <w:tabs>
          <w:tab w:val="clear" w:pos="927"/>
        </w:tabs>
        <w:ind w:left="700" w:hanging="360"/>
      </w:pPr>
      <w:r>
        <w:lastRenderedPageBreak/>
        <w:t>Mise en place d’un pluviomètre enregistreur – STEU</w:t>
      </w:r>
    </w:p>
    <w:p>
      <w:r>
        <w:t xml:space="preserve">La mise en place d’un pluviomètre enregistreur au niveau de la STEU (y compris en cas d’abandon de la STEU au profit de celle de Marguerittes) permettrait une meilleure analyse du fonctionnement du réseau. Cet équipement aiderait à identifier l’importance des entrées d’eau claires dans le réseau d’eaux usées sur les communes de </w:t>
      </w:r>
      <w:proofErr w:type="spellStart"/>
      <w:r>
        <w:t>Bezouce</w:t>
      </w:r>
      <w:proofErr w:type="spellEnd"/>
      <w:r>
        <w:t xml:space="preserve"> et Saint-</w:t>
      </w:r>
      <w:proofErr w:type="spellStart"/>
      <w:r>
        <w:t>Gervasy</w:t>
      </w:r>
      <w:proofErr w:type="spellEnd"/>
      <w:r>
        <w:t>.</w:t>
      </w:r>
    </w:p>
    <w:p>
      <w:pPr>
        <w:pStyle w:val="Retrait1"/>
        <w:numPr>
          <w:ilvl w:val="0"/>
          <w:numId w:val="26"/>
        </w:numPr>
        <w:tabs>
          <w:tab w:val="clear" w:pos="927"/>
        </w:tabs>
        <w:ind w:left="700" w:hanging="360"/>
      </w:pPr>
      <w:r>
        <w:t>Opérations d’entretien à prévoir</w:t>
      </w:r>
    </w:p>
    <w:p>
      <w:r>
        <w:t>Les équipements d’</w:t>
      </w:r>
      <w:proofErr w:type="spellStart"/>
      <w:r>
        <w:t>autosurveillance</w:t>
      </w:r>
      <w:proofErr w:type="spellEnd"/>
      <w:r>
        <w:t xml:space="preserve"> ou de diagnostic permanent doivent faire l’objet d’opérations de contrôle régulières. A minima, les équipements installés dans les postes de relevage doivent faire l’objet d’une visite mensuelle, fréquence qui doit être portée à 18 visites d’entretien annuelles pour les points de diagnostic permanent préconisés sur le réseau. L’entretien consiste à vérifier le calage de la mesure du niveau et au nettoyage des équipements. Il est préconisé de réaliser une visite après un événement pluvieux important.</w:t>
      </w:r>
    </w:p>
    <w:p>
      <w:pPr>
        <w:pStyle w:val="Retrait1"/>
        <w:numPr>
          <w:ilvl w:val="0"/>
          <w:numId w:val="26"/>
        </w:numPr>
        <w:tabs>
          <w:tab w:val="clear" w:pos="927"/>
        </w:tabs>
        <w:ind w:left="700" w:hanging="360"/>
      </w:pPr>
      <w:r>
        <w:t>Obligation du délégataire (contrat DSP 2020)</w:t>
      </w:r>
    </w:p>
    <w:p>
      <w:r>
        <w:t>L’article 36 sur les travaux concessifs définit les dispositions en matière de diagnostic permanent :</w:t>
      </w:r>
    </w:p>
    <w:p>
      <w:r>
        <w:t>« La gestion de ces équipements (… maintenance, récupération, exploitation et interprétation au fil de l’eau des données, analyses comparées des séries de données … identification des orientations techniques nécessaires à l’amélioration du fonctionnement globale du système réseau / station…) est à la charge du concessionnaire dans le cadre des missions de contrôle des flux de pollution.</w:t>
      </w:r>
    </w:p>
    <w:p>
      <w:r>
        <w:t xml:space="preserve">Les prestations d’exploitation intègrent la pleine utilisation des dispositifs de télésurveillance et leurs capacités éventuelles à intégrer les temps de marche des différentes pompes, ainsi que les mesures de niveau pour générer, sur les postes </w:t>
      </w:r>
      <w:proofErr w:type="spellStart"/>
      <w:r>
        <w:t>télésurveillés</w:t>
      </w:r>
      <w:proofErr w:type="spellEnd"/>
      <w:r>
        <w:t>, des chroniques de débits, pompe par pompe, poste par poste. »</w:t>
      </w:r>
    </w:p>
    <w:p>
      <w:pPr>
        <w:pStyle w:val="Retrait1"/>
        <w:tabs>
          <w:tab w:val="clear" w:pos="927"/>
        </w:tabs>
        <w:ind w:left="700" w:hanging="360"/>
      </w:pPr>
      <w:r>
        <w:t>Indicateurs et ratios caractéristiques</w:t>
      </w:r>
    </w:p>
    <w:p>
      <w:pPr>
        <w:rPr>
          <w:lang w:eastAsia="x-none"/>
        </w:rPr>
      </w:pPr>
      <w:r>
        <w:rPr>
          <w:lang w:eastAsia="x-none"/>
        </w:rPr>
        <w:t>Sans objet.</w:t>
      </w:r>
    </w:p>
    <w:p>
      <w:pPr>
        <w:pStyle w:val="Retrait1"/>
        <w:tabs>
          <w:tab w:val="clear" w:pos="927"/>
        </w:tabs>
        <w:ind w:left="700" w:hanging="360"/>
      </w:pPr>
      <w:r>
        <w:t>Estimation du cout des travaux, priorités de réalisation</w:t>
      </w:r>
    </w:p>
    <w:p>
      <w:r>
        <w:t xml:space="preserve">Les différentes mesures prises pour réaliser ce diagnostic permanent permettent une meilleure surveillance du réseau des communes, notamment grâce à la mise en place : </w:t>
      </w:r>
    </w:p>
    <w:p>
      <w:pPr>
        <w:pStyle w:val="Retrait20"/>
        <w:tabs>
          <w:tab w:val="clear" w:pos="928"/>
          <w:tab w:val="num" w:pos="1324"/>
        </w:tabs>
        <w:ind w:left="1304"/>
      </w:pPr>
      <w:r>
        <w:t>D’un pluviomètre enregistreur sur la STEU ;</w:t>
      </w:r>
    </w:p>
    <w:p>
      <w:pPr>
        <w:pStyle w:val="Retrait20"/>
        <w:tabs>
          <w:tab w:val="clear" w:pos="928"/>
          <w:tab w:val="num" w:pos="1324"/>
        </w:tabs>
        <w:ind w:left="1304"/>
      </w:pPr>
      <w:r>
        <w:t>De points de mesure permanents pour le suivi des charges hydrauliques ;</w:t>
      </w:r>
    </w:p>
    <w:p>
      <w:r>
        <w:rPr>
          <w:noProof/>
        </w:rPr>
        <w:drawing>
          <wp:inline distT="0" distB="0" distL="0" distR="0">
            <wp:extent cx="5972810" cy="928370"/>
            <wp:effectExtent l="19050" t="19050" r="27940" b="2413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5972810" cy="928370"/>
                    </a:xfrm>
                    <a:prstGeom prst="rect">
                      <a:avLst/>
                    </a:prstGeom>
                    <a:ln>
                      <a:solidFill>
                        <a:schemeClr val="tx1"/>
                      </a:solidFill>
                    </a:ln>
                  </pic:spPr>
                </pic:pic>
              </a:graphicData>
            </a:graphic>
          </wp:inline>
        </w:drawing>
      </w:r>
      <w:r>
        <w:t xml:space="preserve">   </w:t>
      </w:r>
    </w:p>
    <w:p>
      <w:pPr>
        <w:pStyle w:val="Lgende"/>
      </w:pPr>
      <w:bookmarkStart w:id="109" w:name="_Toc46480612"/>
      <w:r>
        <w:t xml:space="preserve">Action 12 - </w:t>
      </w:r>
      <w:bookmarkEnd w:id="109"/>
      <w:r>
        <w:t>estimation du coût des travaux et priorité de réalisation</w:t>
      </w:r>
    </w:p>
    <w:p>
      <w:pPr>
        <w:pStyle w:val="Titre3"/>
      </w:pPr>
      <w:bookmarkStart w:id="110" w:name="_Toc46480293"/>
      <w:bookmarkStart w:id="111" w:name="_Toc92700785"/>
      <w:r>
        <w:t>Action n°13 : Mise en place d’un programme annuel de contrôle de l’état du réseau et investigations</w:t>
      </w:r>
      <w:bookmarkEnd w:id="110"/>
      <w:bookmarkEnd w:id="111"/>
    </w:p>
    <w:p>
      <w:pPr>
        <w:pStyle w:val="Retrait1"/>
        <w:tabs>
          <w:tab w:val="clear" w:pos="927"/>
        </w:tabs>
        <w:ind w:left="700" w:hanging="360"/>
      </w:pPr>
      <w:r>
        <w:t>Etat des lieux et objectif de l’action</w:t>
      </w:r>
    </w:p>
    <w:p>
      <w:r>
        <w:t>Dans une logique de gestion patrimoniale, un programme d’investigation télévisé sur l’ensemble du réseau est préconisé. Elles permettront d’identifier les secteurs à risque vis-à-vis des infiltrations d’eaux claires ainsi que des casses et des insuffisances hydrauliques. Des contrôles de conformité des branchements et des reconnaissances par temps de pluie sont également programmés. Ces inspections sont le point de départ du programme de renouvellement du réseau car elles permettent d’identifier au mieux les insuffisances du réseau et les tronçons les plus vulnérables vis-à-vis des risques d’infiltrations.</w:t>
      </w:r>
    </w:p>
    <w:p>
      <w:r>
        <w:t>Par ailleurs, des tests à la fumigation ont été réalisés sur l’ensemble du réseau. Il n’est donc pas nécessaire à moyen terme d’en réaliser d’autre.</w:t>
      </w:r>
    </w:p>
    <w:p>
      <w:pPr>
        <w:pStyle w:val="Retrait20"/>
        <w:numPr>
          <w:ilvl w:val="0"/>
          <w:numId w:val="25"/>
        </w:numPr>
        <w:tabs>
          <w:tab w:val="clear" w:pos="928"/>
          <w:tab w:val="num" w:pos="1324"/>
        </w:tabs>
        <w:ind w:left="964" w:hanging="284"/>
      </w:pPr>
      <w:proofErr w:type="spellStart"/>
      <w:r>
        <w:t>Hydrocurage</w:t>
      </w:r>
      <w:proofErr w:type="spellEnd"/>
      <w:r>
        <w:t xml:space="preserve"> et inspections télévisées</w:t>
      </w:r>
    </w:p>
    <w:p>
      <w:r>
        <w:t xml:space="preserve">Les ITV réalisées lors du diagnostic ont permis d’inspecter 10 300 ml de canalisations. Néanmoins, ils n’ont pas permis d’identifier des portions de réseaux très endommagées. </w:t>
      </w:r>
    </w:p>
    <w:p/>
    <w:p>
      <w:r>
        <w:lastRenderedPageBreak/>
        <w:t>Compte tenu du périmètre d’intervention global de la Métropole et des priorités qui restent à établir sur les autres systèmes de collecte, il est retenu la mise en œuvre d’un programme d’inspection visant à investiguer l’ensemble du réseau non visité d’ici une échéance de 20 ans, soit environ 900ml/an environ. Il s’agit d’un taux moyen, qui sera adaptée en fonction des opportunités externes à la collecte assainissement (travaux voirie, extensions réseaux, réseau AEP, etc….)</w:t>
      </w:r>
    </w:p>
    <w:p>
      <w:pPr>
        <w:rPr>
          <w:i/>
        </w:rPr>
      </w:pPr>
      <w:r>
        <w:rPr>
          <w:i/>
        </w:rPr>
        <w:t>Fréquence d’investigation : l’ensemble du réseau, à une échéance 20 ans, soit 900ml/an</w:t>
      </w:r>
    </w:p>
    <w:p>
      <w:pPr>
        <w:pStyle w:val="Retrait20"/>
        <w:numPr>
          <w:ilvl w:val="0"/>
          <w:numId w:val="25"/>
        </w:numPr>
        <w:tabs>
          <w:tab w:val="clear" w:pos="928"/>
          <w:tab w:val="num" w:pos="1324"/>
        </w:tabs>
        <w:ind w:left="964" w:hanging="284"/>
      </w:pPr>
      <w:r>
        <w:t>Reconnaissance temps de pluie</w:t>
      </w:r>
    </w:p>
    <w:p>
      <w:r>
        <w:t xml:space="preserve">La reconnaissance temps de pluie permet d’identifier les entrées d’eau claires dans le réseau. Cette reconnaissance a pour but d’identifier les tronçons de réseau sensible aux entrées d’eau de pluie causées par des infiltrations d’eau ou des mauvais raccordements de branchement. </w:t>
      </w:r>
    </w:p>
    <w:p>
      <w:pPr>
        <w:rPr>
          <w:i/>
        </w:rPr>
      </w:pPr>
      <w:r>
        <w:rPr>
          <w:i/>
        </w:rPr>
        <w:t>Fréquence d’investigation : 2 jours par an, tous les ans</w:t>
      </w:r>
    </w:p>
    <w:p>
      <w:pPr>
        <w:pStyle w:val="Retrait20"/>
        <w:numPr>
          <w:ilvl w:val="0"/>
          <w:numId w:val="25"/>
        </w:numPr>
        <w:tabs>
          <w:tab w:val="clear" w:pos="928"/>
          <w:tab w:val="num" w:pos="1324"/>
        </w:tabs>
        <w:ind w:left="964" w:hanging="284"/>
      </w:pPr>
      <w:r>
        <w:t>Contrôle de conformité des branchements</w:t>
      </w:r>
    </w:p>
    <w:p>
      <w:r>
        <w:t>Les contrôles de conformité des branchements permettent d’identifier les défauts de raccordement chez les particuliers afin de vérifier que les toitures et autres surfaces actives des particuliers ne soient pas raccordées sur le réseau d’eau usées. Cela permet notamment d’identifier les entrées d’eau claires responsables de surcharges hydrauliques. Il est recommandé d’effectuer ces contrôles en particulier dans les secteurs ayant été mis en évidence lors de la reconnaissance temps de pluie.</w:t>
      </w:r>
    </w:p>
    <w:p>
      <w:pPr>
        <w:rPr>
          <w:i/>
        </w:rPr>
      </w:pPr>
      <w:r>
        <w:rPr>
          <w:i/>
        </w:rPr>
        <w:t>Fréquence d’investigation : 20 branchements par an, tous les ans</w:t>
      </w:r>
    </w:p>
    <w:p>
      <w:pPr>
        <w:pStyle w:val="Retrait20"/>
        <w:numPr>
          <w:ilvl w:val="0"/>
          <w:numId w:val="25"/>
        </w:numPr>
        <w:tabs>
          <w:tab w:val="clear" w:pos="928"/>
          <w:tab w:val="num" w:pos="1324"/>
        </w:tabs>
        <w:ind w:left="964" w:hanging="284"/>
      </w:pPr>
      <w:r>
        <w:t>Analyse des inspections et bilan annuel sur les eaux parasites</w:t>
      </w:r>
    </w:p>
    <w:p>
      <w:r>
        <w:t>A la suite de ces investigations, il est nécessaire de réaliser une analyse détaillée de ce qui a été observé. Cette analyse donnera lieu à un bilan annuel sur les eaux parasites et permettra d’identifier au mieux les tronçons présentant des anomalies et des problèmes d’infiltration. Elle permettra également d’établir un programme de renouvellement pertinent vis-à-vis des problématiques du réseau.</w:t>
      </w:r>
    </w:p>
    <w:p>
      <w:pPr>
        <w:rPr>
          <w:i/>
        </w:rPr>
      </w:pPr>
      <w:r>
        <w:rPr>
          <w:i/>
        </w:rPr>
        <w:t>Fréquence d’analyse : tous les ans</w:t>
      </w:r>
    </w:p>
    <w:p>
      <w:pPr>
        <w:pStyle w:val="Retrait1"/>
        <w:numPr>
          <w:ilvl w:val="0"/>
          <w:numId w:val="26"/>
        </w:numPr>
        <w:tabs>
          <w:tab w:val="clear" w:pos="927"/>
        </w:tabs>
        <w:ind w:left="700" w:hanging="360"/>
      </w:pPr>
      <w:r>
        <w:t>Obligation du délégataire (contrat DSP 2020)</w:t>
      </w:r>
    </w:p>
    <w:p>
      <w:r>
        <w:t xml:space="preserve">Les obligations du délégataire permettront de compléter cette analyse. L’article 31 sur la lutte contre </w:t>
      </w:r>
      <w:proofErr w:type="gramStart"/>
      <w:r>
        <w:t>les eaux parasites précise</w:t>
      </w:r>
      <w:proofErr w:type="gramEnd"/>
      <w:r>
        <w:t> :</w:t>
      </w:r>
    </w:p>
    <w:p>
      <w:r>
        <w:t>« Le concessionnaire réalise les actions suivantes pour accompagner la collectivité dans ses projets de réduction des eaux parasites transitant par le système d’assainissement :</w:t>
      </w:r>
    </w:p>
    <w:p>
      <w:pPr>
        <w:pStyle w:val="Paragraphedeliste"/>
        <w:numPr>
          <w:ilvl w:val="0"/>
          <w:numId w:val="24"/>
        </w:numPr>
      </w:pPr>
      <w:r>
        <w:t>Installation de 47 sondes de niveau en réseau plus 5 mobiles (afin de sous-sectoriser temporairement les bassins versant présentant des infiltrations importantes afin de cibler les recherches pour trouver les défauts d’étanchéité des réseaux) pour créer 79 zones de collecte,</w:t>
      </w:r>
    </w:p>
    <w:p>
      <w:pPr>
        <w:pStyle w:val="Paragraphedeliste"/>
        <w:numPr>
          <w:ilvl w:val="0"/>
          <w:numId w:val="24"/>
        </w:numPr>
      </w:pPr>
      <w:r>
        <w:t>Investissement d’une sonde de mesure de vitesse mobile afin de pouvoir intégrer des lois de transformation hauteur en débit de chacun des points,</w:t>
      </w:r>
    </w:p>
    <w:p>
      <w:pPr>
        <w:pStyle w:val="Paragraphedeliste"/>
        <w:numPr>
          <w:ilvl w:val="0"/>
          <w:numId w:val="24"/>
        </w:numPr>
      </w:pPr>
      <w:r>
        <w:t xml:space="preserve">Déploiement de l’outil </w:t>
      </w:r>
      <w:proofErr w:type="spellStart"/>
      <w:r>
        <w:t>GesCIRA</w:t>
      </w:r>
      <w:proofErr w:type="spellEnd"/>
      <w:r>
        <w:t xml:space="preserve"> pour l’analyse des flux du diagnostic permanent sur le territoire de la Communauté d’Agglomération Nîmes Métropole et réalise des bilans trimestriels par système de collecte et zones de collecte permettant de hiérarchiser les actions de terrain à mener, en accord avec la collectivité,</w:t>
      </w:r>
    </w:p>
    <w:p>
      <w:pPr>
        <w:pStyle w:val="Paragraphedeliste"/>
        <w:numPr>
          <w:ilvl w:val="0"/>
          <w:numId w:val="24"/>
        </w:numPr>
      </w:pPr>
      <w:r>
        <w:t>20 km/an de tests à la fumée sur les zones de collecte où le % de surface active est le plus fort,</w:t>
      </w:r>
    </w:p>
    <w:p>
      <w:pPr>
        <w:pStyle w:val="Paragraphedeliste"/>
        <w:numPr>
          <w:ilvl w:val="0"/>
          <w:numId w:val="24"/>
        </w:numPr>
      </w:pPr>
      <w:r>
        <w:t xml:space="preserve">25 km/an de </w:t>
      </w:r>
      <w:proofErr w:type="spellStart"/>
      <w:r>
        <w:t>prédiagnostic</w:t>
      </w:r>
      <w:proofErr w:type="spellEnd"/>
      <w:r>
        <w:t xml:space="preserve"> par caméra périscopique de regard,</w:t>
      </w:r>
    </w:p>
    <w:p>
      <w:pPr>
        <w:pStyle w:val="Paragraphedeliste"/>
        <w:numPr>
          <w:ilvl w:val="0"/>
          <w:numId w:val="24"/>
        </w:numPr>
      </w:pPr>
      <w:r>
        <w:t>88km/an de pré-diagnostic par drone de réseau,</w:t>
      </w:r>
    </w:p>
    <w:p>
      <w:pPr>
        <w:pStyle w:val="Paragraphedeliste"/>
        <w:numPr>
          <w:ilvl w:val="0"/>
          <w:numId w:val="24"/>
        </w:numPr>
      </w:pPr>
      <w:r>
        <w:t>…</w:t>
      </w:r>
    </w:p>
    <w:p>
      <w:pPr>
        <w:pStyle w:val="Paragraphedeliste"/>
        <w:numPr>
          <w:ilvl w:val="0"/>
          <w:numId w:val="24"/>
        </w:numPr>
      </w:pPr>
      <w:r>
        <w:t>Proposition d’un programme pluriannuel de travaux de réhabilitation et de renouvellement. »</w:t>
      </w:r>
    </w:p>
    <w:p>
      <w:pPr>
        <w:pStyle w:val="Retrait1"/>
        <w:tabs>
          <w:tab w:val="clear" w:pos="927"/>
        </w:tabs>
        <w:ind w:left="700" w:hanging="360"/>
      </w:pPr>
      <w:r>
        <w:t>Indicateurs et ratios caractéristiques</w:t>
      </w:r>
    </w:p>
    <w:p>
      <w:pPr>
        <w:pStyle w:val="Retrait20"/>
      </w:pPr>
      <w:r>
        <w:t>Taux d’ITV à réaliser annuellement à hauteur de 3,7% du réseau de collecte.</w:t>
      </w:r>
    </w:p>
    <w:p>
      <w:pPr>
        <w:pStyle w:val="Retrait1"/>
        <w:tabs>
          <w:tab w:val="clear" w:pos="927"/>
        </w:tabs>
        <w:ind w:left="700" w:hanging="360"/>
      </w:pPr>
      <w:r>
        <w:t>Estimation du cout des travaux, priorités de réalisation</w:t>
      </w:r>
    </w:p>
    <w:p>
      <w:r>
        <w:rPr>
          <w:noProof/>
        </w:rPr>
        <w:drawing>
          <wp:inline distT="0" distB="0" distL="0" distR="0">
            <wp:extent cx="5972810" cy="697230"/>
            <wp:effectExtent l="19050" t="19050" r="27940" b="26670"/>
            <wp:docPr id="1347" name="Image 1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5972810" cy="697230"/>
                    </a:xfrm>
                    <a:prstGeom prst="rect">
                      <a:avLst/>
                    </a:prstGeom>
                    <a:ln>
                      <a:solidFill>
                        <a:schemeClr val="tx1"/>
                      </a:solidFill>
                    </a:ln>
                  </pic:spPr>
                </pic:pic>
              </a:graphicData>
            </a:graphic>
          </wp:inline>
        </w:drawing>
      </w:r>
      <w:r>
        <w:t xml:space="preserve">  </w:t>
      </w:r>
    </w:p>
    <w:p>
      <w:pPr>
        <w:pStyle w:val="Lgende"/>
      </w:pPr>
      <w:bookmarkStart w:id="112" w:name="_Toc46480614"/>
      <w:r>
        <w:t xml:space="preserve">Action 13 - </w:t>
      </w:r>
      <w:bookmarkEnd w:id="112"/>
      <w:r>
        <w:t>estimation du coût des travaux et priorité de réalisation</w:t>
      </w:r>
    </w:p>
    <w:p>
      <w:pPr>
        <w:spacing w:before="0"/>
        <w:jc w:val="left"/>
        <w:rPr>
          <w:b/>
          <w:iCs/>
          <w:color w:val="333333"/>
          <w:sz w:val="28"/>
        </w:rPr>
      </w:pPr>
      <w:bookmarkStart w:id="113" w:name="_Toc46480292"/>
      <w:r>
        <w:br w:type="page"/>
      </w:r>
    </w:p>
    <w:p>
      <w:pPr>
        <w:pStyle w:val="Titre3"/>
      </w:pPr>
      <w:bookmarkStart w:id="114" w:name="_Toc92700786"/>
      <w:r>
        <w:lastRenderedPageBreak/>
        <w:t>Action n°14 : Mise en place d'un renouvellement programmé de la collecte des eaux usées</w:t>
      </w:r>
      <w:bookmarkEnd w:id="113"/>
      <w:bookmarkEnd w:id="114"/>
    </w:p>
    <w:p>
      <w:pPr>
        <w:pStyle w:val="Retrait1"/>
        <w:tabs>
          <w:tab w:val="clear" w:pos="927"/>
        </w:tabs>
        <w:ind w:left="700" w:hanging="360"/>
      </w:pPr>
      <w:bookmarkStart w:id="115" w:name="_Toc46480294"/>
      <w:r>
        <w:t>Etat des lieux et objectif de l’action</w:t>
      </w:r>
    </w:p>
    <w:p>
      <w:r>
        <w:t>Suite à la réalisation des enquêtes, des ITV, et à l’établissement d’un bilan sur les eaux parasites, les secteurs identifiés comme problématiques ou à risque devront être renouvelés. En complément à l’action 4 qui préconise le renouvellement des tronçons effectivement ou potentiellement identifiés comme vecteurs d’infiltration, l’Action 14 propose un linéaire de réseau à renouveler motivé par l’état structurel des canalisations ou par des problèmes d’hydraulicité mis en évidence.</w:t>
      </w:r>
    </w:p>
    <w:p>
      <w:r>
        <w:t>A travers cette action, il convient par ailleurs de prévoir le renouvellement à minima de deux branchements par an.</w:t>
      </w:r>
    </w:p>
    <w:p>
      <w:pPr>
        <w:pStyle w:val="Retrait1"/>
        <w:keepNext/>
        <w:tabs>
          <w:tab w:val="clear" w:pos="927"/>
        </w:tabs>
        <w:ind w:left="700" w:hanging="360"/>
      </w:pPr>
      <w:r>
        <w:t>Estimation du cout des travaux, priorités de réalisation pour l’action 14</w:t>
      </w:r>
    </w:p>
    <w:p>
      <w:r>
        <w:rPr>
          <w:noProof/>
        </w:rPr>
        <w:drawing>
          <wp:inline distT="0" distB="0" distL="0" distR="0">
            <wp:extent cx="5972810" cy="1516380"/>
            <wp:effectExtent l="19050" t="19050" r="27940" b="26670"/>
            <wp:docPr id="1363" name="Image 1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5972810" cy="1516380"/>
                    </a:xfrm>
                    <a:prstGeom prst="rect">
                      <a:avLst/>
                    </a:prstGeom>
                    <a:ln>
                      <a:solidFill>
                        <a:schemeClr val="tx1"/>
                      </a:solidFill>
                    </a:ln>
                  </pic:spPr>
                </pic:pic>
              </a:graphicData>
            </a:graphic>
          </wp:inline>
        </w:drawing>
      </w:r>
    </w:p>
    <w:p>
      <w:pPr>
        <w:pStyle w:val="Lgende"/>
        <w:rPr>
          <w:lang w:eastAsia="x-none"/>
        </w:rPr>
      </w:pPr>
      <w:r>
        <w:t>Action 14 - estimation du coût des travaux et priorité de réalisation</w:t>
      </w:r>
    </w:p>
    <w:p>
      <w:pPr>
        <w:pStyle w:val="Retrait1"/>
        <w:tabs>
          <w:tab w:val="clear" w:pos="927"/>
        </w:tabs>
        <w:ind w:left="700" w:hanging="360"/>
      </w:pPr>
      <w:r>
        <w:t>Synthèse des orientations de gestion patrimoniale réseau</w:t>
      </w:r>
    </w:p>
    <w:p>
      <w:r>
        <w:t>Les deux actions A4 et A14 participent donc à la mise en œuvre effective d’une démarche de gestion patrimoniale qui consiste à maintenir le patrimoine en état, tout au long de son cycle de vie, pour optimiser le coût des opérations d’acquisition, d’exploitation ou de réhabilitation afin de fournir un niveau de service performant. Ces deux actions participent donc au maintien de la valeur de l’actif réseau.</w:t>
      </w:r>
    </w:p>
    <w:p>
      <w:r>
        <w:t>Le plan d’actions proposé doit permettre de définir les moyens financiers nécessaires à l’atteinte de ces objectifs en investissement.</w:t>
      </w:r>
    </w:p>
    <w:p>
      <w:r>
        <w:t>Le renouvellement proposé à travers ces deux actions A4 et A14 représente un linéaire de 2,9km pour un montant total estimé à environ 897K€HT. Réalisé, sur une période de 10 ans, il correspondrait à un taux de renouvellement moyen de l’ordre de 1,2%/an (soit une durée de vie théorique de l’actif de 80 ans). Compte tenu des observations et de la connaissance actuelle de la durée de vie des réseaux d’assainissement il conviendrait de porter ce taux de renouvellement à 1,5% en moyenne annuelle, ce qui représente 3,6km.</w:t>
      </w:r>
    </w:p>
    <w:p>
      <w:r>
        <w:t>Il convient de rappeler que l’article 31 du contrat de DSP précise que le concessionnaire doit proposer un programme pluriannuel de travaux de réhabilitation et de renouvellement. Le présent programme doit donc être amené à évoluer, au-delà des renouvellements identifiés présentés en priorités 1/2/3, en fonction de besoins qui s’imposeraient au service et des résultats des démarches de suivi de la performance préconisés (ITV, exploitation, diagnostic permanent, visite sous averse).</w:t>
      </w:r>
    </w:p>
    <w:p>
      <w:pPr>
        <w:pStyle w:val="Retrait1"/>
        <w:tabs>
          <w:tab w:val="clear" w:pos="927"/>
        </w:tabs>
        <w:ind w:left="700" w:hanging="360"/>
      </w:pPr>
      <w:r>
        <w:t>Indicateurs et ratios caractéristiques</w:t>
      </w:r>
    </w:p>
    <w:p>
      <w:r>
        <w:rPr>
          <w:noProof/>
        </w:rPr>
        <w:drawing>
          <wp:inline distT="0" distB="0" distL="0" distR="0">
            <wp:extent cx="5972810" cy="1540510"/>
            <wp:effectExtent l="19050" t="19050" r="27940" b="21590"/>
            <wp:docPr id="1373" name="Image 1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5972810" cy="1540510"/>
                    </a:xfrm>
                    <a:prstGeom prst="rect">
                      <a:avLst/>
                    </a:prstGeom>
                    <a:ln>
                      <a:solidFill>
                        <a:schemeClr val="tx1"/>
                      </a:solidFill>
                    </a:ln>
                  </pic:spPr>
                </pic:pic>
              </a:graphicData>
            </a:graphic>
          </wp:inline>
        </w:drawing>
      </w:r>
      <w:r>
        <w:t xml:space="preserve"> </w:t>
      </w:r>
    </w:p>
    <w:p>
      <w:pPr>
        <w:pStyle w:val="Lgende"/>
        <w:rPr>
          <w:lang w:eastAsia="x-none"/>
        </w:rPr>
      </w:pPr>
      <w:bookmarkStart w:id="116" w:name="_Toc57022726"/>
      <w:bookmarkStart w:id="117" w:name="_Toc67549145"/>
      <w:r>
        <w:t>Synthèse des orientations de renouvellement réseau pour la mise en œuvre effective d’une gestion patrimoniale réseau - estimation du coût des travaux et priorité de réalisation</w:t>
      </w:r>
      <w:bookmarkEnd w:id="116"/>
      <w:bookmarkEnd w:id="117"/>
    </w:p>
    <w:p>
      <w:pPr>
        <w:spacing w:before="0"/>
        <w:jc w:val="left"/>
        <w:rPr>
          <w:b/>
          <w:color w:val="333333"/>
          <w:sz w:val="32"/>
        </w:rPr>
      </w:pPr>
      <w:r>
        <w:br w:type="page"/>
      </w:r>
    </w:p>
    <w:p>
      <w:pPr>
        <w:pStyle w:val="Titre2"/>
      </w:pPr>
      <w:bookmarkStart w:id="118" w:name="_Toc92700787"/>
      <w:r>
        <w:lastRenderedPageBreak/>
        <w:t>Thématique 7 : Mise en adéquation du système d’assainissement avec l’évolution urbanistique des commune</w:t>
      </w:r>
      <w:bookmarkEnd w:id="115"/>
      <w:r>
        <w:t>s</w:t>
      </w:r>
      <w:bookmarkEnd w:id="118"/>
    </w:p>
    <w:p>
      <w:r>
        <w:t>Comme précisé dans la partie 2.1, le zonage d’assainissement ne prévoit pas d’extension de réseau.</w:t>
      </w:r>
    </w:p>
    <w:p>
      <w:pPr>
        <w:pStyle w:val="Titre3"/>
      </w:pPr>
      <w:bookmarkStart w:id="119" w:name="_Toc46480296"/>
      <w:bookmarkStart w:id="120" w:name="_Toc56172909"/>
      <w:bookmarkStart w:id="121" w:name="_Toc46480295"/>
      <w:bookmarkStart w:id="122" w:name="_Toc92700788"/>
      <w:r>
        <w:t>Action n°15 : Mise en perspective des unités de dépollution avec les charges à traiter</w:t>
      </w:r>
      <w:bookmarkEnd w:id="119"/>
      <w:bookmarkEnd w:id="120"/>
      <w:bookmarkEnd w:id="122"/>
    </w:p>
    <w:p>
      <w:pPr>
        <w:pStyle w:val="Retrait1"/>
        <w:tabs>
          <w:tab w:val="clear" w:pos="927"/>
        </w:tabs>
        <w:ind w:left="700" w:hanging="360"/>
      </w:pPr>
      <w:r>
        <w:t>Etat des lieux et objectif de l’action</w:t>
      </w:r>
    </w:p>
    <w:p>
      <w:r>
        <w:t>Les travaux prévus par le schéma directeur d’assainissement intercommunal portent sur :</w:t>
      </w:r>
    </w:p>
    <w:p>
      <w:pPr>
        <w:pStyle w:val="Retrait20"/>
        <w:tabs>
          <w:tab w:val="clear" w:pos="928"/>
          <w:tab w:val="num" w:pos="1324"/>
        </w:tabs>
        <w:ind w:left="1304"/>
      </w:pPr>
      <w:r>
        <w:t>La suppression de la station d’épuration de Saint-</w:t>
      </w:r>
      <w:proofErr w:type="spellStart"/>
      <w:r>
        <w:t>Gervasy</w:t>
      </w:r>
      <w:proofErr w:type="spellEnd"/>
      <w:r>
        <w:t xml:space="preserve"> et le transfert de l’ensemble des eaux usées des communes de Saint-</w:t>
      </w:r>
      <w:proofErr w:type="spellStart"/>
      <w:r>
        <w:t>Gervasy</w:t>
      </w:r>
      <w:proofErr w:type="spellEnd"/>
      <w:r>
        <w:t xml:space="preserve">, </w:t>
      </w:r>
      <w:proofErr w:type="spellStart"/>
      <w:r>
        <w:t>Bezouce</w:t>
      </w:r>
      <w:proofErr w:type="spellEnd"/>
      <w:r>
        <w:t xml:space="preserve"> et </w:t>
      </w:r>
      <w:proofErr w:type="spellStart"/>
      <w:r>
        <w:t>Cabrières</w:t>
      </w:r>
      <w:proofErr w:type="spellEnd"/>
      <w:r>
        <w:t xml:space="preserve"> vers la station d’épuration de Marguerittes (actuellement une partie des eaux usées du système d’assainissement de Saint-</w:t>
      </w:r>
      <w:proofErr w:type="spellStart"/>
      <w:r>
        <w:t>Gervasy</w:t>
      </w:r>
      <w:proofErr w:type="spellEnd"/>
      <w:r>
        <w:t xml:space="preserve"> se dirige vers la station de Marguerittes via un répartiteur). Le schéma intercommunal fait par de choix de construction d’une nouvelle file de traitement afin d’accueillir en autre les eaux usées des 3 communes citées ci-dessus. Les travaux de construction de la nouvelle file de traitement sont prévus en 2022 portant à 30 000 EH la capacité de la station d’épuration de Marguerittes (doublement de la filière).</w:t>
      </w:r>
    </w:p>
    <w:p>
      <w:pPr>
        <w:pStyle w:val="Retrait20"/>
        <w:numPr>
          <w:ilvl w:val="0"/>
          <w:numId w:val="0"/>
        </w:numPr>
        <w:ind w:left="1304"/>
      </w:pPr>
    </w:p>
    <w:p>
      <w:pPr>
        <w:pStyle w:val="Retrait1"/>
        <w:tabs>
          <w:tab w:val="clear" w:pos="927"/>
          <w:tab w:val="num" w:pos="709"/>
        </w:tabs>
        <w:ind w:left="709"/>
      </w:pPr>
      <w:r>
        <w:t>Indicateurs et ratios caractéristiques</w:t>
      </w:r>
    </w:p>
    <w:p>
      <w:pPr>
        <w:rPr>
          <w:lang w:eastAsia="x-none"/>
        </w:rPr>
      </w:pPr>
      <w:r>
        <w:rPr>
          <w:lang w:eastAsia="x-none"/>
        </w:rPr>
        <w:t>Sans objet</w:t>
      </w:r>
    </w:p>
    <w:p>
      <w:pPr>
        <w:pStyle w:val="Retrait1"/>
        <w:tabs>
          <w:tab w:val="clear" w:pos="927"/>
        </w:tabs>
        <w:ind w:left="700" w:hanging="360"/>
      </w:pPr>
      <w:r>
        <w:t>Estimation du cout des travaux, priorités de réalisation</w:t>
      </w:r>
    </w:p>
    <w:p>
      <w:r>
        <w:t>Le coût des travaux indiqué ci-dessous est celui retenu par le schéma directeur intercommunal d’assainissement.</w:t>
      </w:r>
    </w:p>
    <w:p>
      <w:pPr>
        <w:keepNext/>
      </w:pPr>
      <w:r>
        <w:rPr>
          <w:noProof/>
        </w:rPr>
        <w:drawing>
          <wp:inline distT="0" distB="0" distL="0" distR="0">
            <wp:extent cx="5972810" cy="651510"/>
            <wp:effectExtent l="19050" t="19050" r="27940" b="1524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5972810" cy="651510"/>
                    </a:xfrm>
                    <a:prstGeom prst="rect">
                      <a:avLst/>
                    </a:prstGeom>
                    <a:ln>
                      <a:solidFill>
                        <a:schemeClr val="tx1"/>
                      </a:solidFill>
                    </a:ln>
                  </pic:spPr>
                </pic:pic>
              </a:graphicData>
            </a:graphic>
          </wp:inline>
        </w:drawing>
      </w:r>
      <w:r>
        <w:t xml:space="preserve">  </w:t>
      </w:r>
    </w:p>
    <w:p>
      <w:pPr>
        <w:pStyle w:val="Lgende"/>
        <w:rPr>
          <w:lang w:eastAsia="x-none"/>
        </w:rPr>
      </w:pPr>
      <w:bookmarkStart w:id="123" w:name="_Toc46480616"/>
      <w:bookmarkStart w:id="124" w:name="_Toc57022692"/>
      <w:r>
        <w:t xml:space="preserve">Action 15 - </w:t>
      </w:r>
      <w:bookmarkEnd w:id="123"/>
      <w:r>
        <w:t>estimation du coût des travaux et priorité de réalisation</w:t>
      </w:r>
      <w:bookmarkEnd w:id="124"/>
    </w:p>
    <w:p>
      <w:pPr>
        <w:rPr>
          <w:highlight w:val="yellow"/>
        </w:rPr>
      </w:pPr>
    </w:p>
    <w:p>
      <w:pPr>
        <w:spacing w:before="0"/>
        <w:jc w:val="left"/>
        <w:rPr>
          <w:b/>
          <w:smallCaps/>
          <w:color w:val="333333"/>
          <w:kern w:val="28"/>
          <w:sz w:val="48"/>
        </w:rPr>
      </w:pPr>
      <w:bookmarkStart w:id="125" w:name="_Toc54181853"/>
      <w:bookmarkEnd w:id="121"/>
      <w:r>
        <w:br w:type="page"/>
      </w:r>
    </w:p>
    <w:p>
      <w:pPr>
        <w:pStyle w:val="Titre1"/>
      </w:pPr>
      <w:bookmarkStart w:id="126" w:name="_Toc92700789"/>
      <w:r>
        <w:lastRenderedPageBreak/>
        <w:t>Synthèse et plan d’ensemble du programme de travaux</w:t>
      </w:r>
      <w:bookmarkEnd w:id="125"/>
      <w:bookmarkEnd w:id="126"/>
    </w:p>
    <w:p>
      <w:pPr>
        <w:jc w:val="center"/>
      </w:pPr>
      <w:r>
        <w:rPr>
          <w:noProof/>
        </w:rPr>
        <w:drawing>
          <wp:inline distT="0" distB="0" distL="0" distR="0">
            <wp:extent cx="5972810" cy="4083685"/>
            <wp:effectExtent l="19050" t="19050" r="27940" b="12065"/>
            <wp:docPr id="1372" name="Image 1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5972810" cy="4083685"/>
                    </a:xfrm>
                    <a:prstGeom prst="rect">
                      <a:avLst/>
                    </a:prstGeom>
                    <a:ln>
                      <a:solidFill>
                        <a:schemeClr val="tx1"/>
                      </a:solidFill>
                    </a:ln>
                  </pic:spPr>
                </pic:pic>
              </a:graphicData>
            </a:graphic>
          </wp:inline>
        </w:drawing>
      </w:r>
      <w:r>
        <w:t xml:space="preserve">     </w:t>
      </w:r>
    </w:p>
    <w:p>
      <w:pPr>
        <w:pStyle w:val="Lgende"/>
        <w:jc w:val="left"/>
      </w:pPr>
      <w:bookmarkStart w:id="127" w:name="_Toc67064419"/>
      <w:bookmarkStart w:id="128" w:name="_Toc54181937"/>
      <w:r>
        <w:t>Synthèse du programme de travaux</w:t>
      </w:r>
      <w:bookmarkEnd w:id="127"/>
      <w:bookmarkEnd w:id="128"/>
    </w:p>
    <w:p>
      <w:r>
        <w:t>L’investissement est évalué à environ 7 135 000€HT à l’horizon 10 ans. Du point de vue des thématiques la répartition des travaux est la suivante :</w:t>
      </w:r>
    </w:p>
    <w:p>
      <w:pPr>
        <w:pStyle w:val="Retrait1"/>
        <w:numPr>
          <w:ilvl w:val="0"/>
          <w:numId w:val="32"/>
        </w:numPr>
        <w:ind w:left="700" w:hanging="360"/>
      </w:pPr>
      <w:bookmarkStart w:id="129" w:name="OLE_LINK1"/>
      <w:r>
        <w:t>Suppression des eaux claires parasites de temps de pluie : 67 000€HT</w:t>
      </w:r>
    </w:p>
    <w:p>
      <w:pPr>
        <w:pStyle w:val="Retrait1"/>
        <w:numPr>
          <w:ilvl w:val="0"/>
          <w:numId w:val="32"/>
        </w:numPr>
        <w:ind w:left="700" w:hanging="360"/>
      </w:pPr>
      <w:r>
        <w:t>Suppression des eaux claires de temps sec et/ou de ressuyage : 27 000€HT</w:t>
      </w:r>
    </w:p>
    <w:p>
      <w:pPr>
        <w:pStyle w:val="Retrait1"/>
        <w:numPr>
          <w:ilvl w:val="0"/>
          <w:numId w:val="32"/>
        </w:numPr>
        <w:ind w:left="700" w:hanging="360"/>
      </w:pPr>
      <w:r>
        <w:t>Réhabilitation des réseaux et regards de visite : 78 000€HT</w:t>
      </w:r>
    </w:p>
    <w:p>
      <w:pPr>
        <w:pStyle w:val="Retrait1"/>
        <w:numPr>
          <w:ilvl w:val="0"/>
          <w:numId w:val="32"/>
        </w:numPr>
        <w:ind w:left="700" w:hanging="360"/>
      </w:pPr>
      <w:r>
        <w:t xml:space="preserve">Réhabilitation des équipements et ouvrages : 41 000€HT </w:t>
      </w:r>
    </w:p>
    <w:p>
      <w:pPr>
        <w:pStyle w:val="Retrait1"/>
        <w:numPr>
          <w:ilvl w:val="0"/>
          <w:numId w:val="32"/>
        </w:numPr>
        <w:ind w:left="700" w:hanging="360"/>
      </w:pPr>
      <w:r>
        <w:t>Modification du schéma de collecte : 130 000€HT</w:t>
      </w:r>
    </w:p>
    <w:p>
      <w:pPr>
        <w:pStyle w:val="Retrait1"/>
        <w:numPr>
          <w:ilvl w:val="0"/>
          <w:numId w:val="32"/>
        </w:numPr>
        <w:ind w:left="700" w:hanging="360"/>
      </w:pPr>
      <w:r>
        <w:t>Mise en place d'une gestion patrimoniale : 990 000€HT</w:t>
      </w:r>
    </w:p>
    <w:p>
      <w:pPr>
        <w:pStyle w:val="Retrait1"/>
        <w:numPr>
          <w:ilvl w:val="0"/>
          <w:numId w:val="32"/>
        </w:numPr>
        <w:ind w:left="700" w:hanging="360"/>
      </w:pPr>
      <w:r>
        <w:t>Mise en adéquation du système d’assainissement (doublement de la capacité de la STEU de Marguerittes) : 5 800 000€HT</w:t>
      </w:r>
    </w:p>
    <w:bookmarkEnd w:id="129"/>
    <w:p>
      <w:r>
        <w:t>Au niveau des priorités :</w:t>
      </w:r>
    </w:p>
    <w:p>
      <w:pPr>
        <w:pStyle w:val="Retrait20"/>
        <w:numPr>
          <w:ilvl w:val="0"/>
          <w:numId w:val="31"/>
        </w:numPr>
        <w:tabs>
          <w:tab w:val="clear" w:pos="928"/>
          <w:tab w:val="num" w:pos="1324"/>
        </w:tabs>
        <w:ind w:left="1304"/>
      </w:pPr>
      <w:r>
        <w:t>Priorité 1 : 6 017 000€HT dont 5 800 000€HT pour le doublement de la STEU de Marguerittes</w:t>
      </w:r>
    </w:p>
    <w:p>
      <w:pPr>
        <w:pStyle w:val="Retrait20"/>
        <w:numPr>
          <w:ilvl w:val="0"/>
          <w:numId w:val="31"/>
        </w:numPr>
        <w:tabs>
          <w:tab w:val="clear" w:pos="928"/>
          <w:tab w:val="num" w:pos="1324"/>
        </w:tabs>
        <w:ind w:left="1304"/>
      </w:pPr>
      <w:r>
        <w:t>Priorité 2 : 498 000€HT</w:t>
      </w:r>
    </w:p>
    <w:p>
      <w:pPr>
        <w:pStyle w:val="Retrait20"/>
        <w:numPr>
          <w:ilvl w:val="0"/>
          <w:numId w:val="31"/>
        </w:numPr>
        <w:tabs>
          <w:tab w:val="clear" w:pos="928"/>
          <w:tab w:val="num" w:pos="1324"/>
        </w:tabs>
        <w:ind w:left="1304"/>
      </w:pPr>
      <w:r>
        <w:t>Priorité 3 : 620 000€HT</w:t>
      </w:r>
    </w:p>
    <w:p>
      <w:pPr>
        <w:pStyle w:val="Retrait20"/>
        <w:numPr>
          <w:ilvl w:val="0"/>
          <w:numId w:val="0"/>
        </w:numPr>
        <w:ind w:left="908" w:hanging="340"/>
      </w:pPr>
    </w:p>
    <w:p>
      <w:pPr>
        <w:pStyle w:val="Retrait20"/>
        <w:numPr>
          <w:ilvl w:val="0"/>
          <w:numId w:val="0"/>
        </w:numPr>
        <w:ind w:left="908" w:hanging="340"/>
      </w:pPr>
    </w:p>
    <w:p>
      <w:pPr>
        <w:pStyle w:val="Retrait20"/>
        <w:numPr>
          <w:ilvl w:val="0"/>
          <w:numId w:val="0"/>
        </w:numPr>
        <w:ind w:left="908" w:hanging="340"/>
      </w:pPr>
    </w:p>
    <w:p>
      <w:pPr>
        <w:pStyle w:val="Titre1"/>
        <w:spacing w:before="0"/>
      </w:pPr>
      <w:bookmarkStart w:id="130" w:name="_Toc67549076"/>
      <w:bookmarkStart w:id="131" w:name="_Toc92700790"/>
      <w:r>
        <w:lastRenderedPageBreak/>
        <w:t>Annexes</w:t>
      </w:r>
      <w:bookmarkEnd w:id="130"/>
      <w:bookmarkEnd w:id="131"/>
    </w:p>
    <w:p>
      <w:pPr>
        <w:pStyle w:val="Retrait1"/>
      </w:pPr>
      <w:r>
        <w:t>Plan du programme de travaux</w:t>
      </w:r>
    </w:p>
    <w:p>
      <w:pPr>
        <w:pStyle w:val="Retrait1"/>
      </w:pPr>
      <w:r>
        <w:t>Tableau détaillé du programme de travaux</w:t>
      </w:r>
    </w:p>
    <w:p/>
    <w:sectPr>
      <w:headerReference w:type="default" r:id="rId43"/>
      <w:footerReference w:type="default" r:id="rId44"/>
      <w:headerReference w:type="first" r:id="rId45"/>
      <w:footnotePr>
        <w:pos w:val="beneathText"/>
      </w:footnotePr>
      <w:pgSz w:w="11905" w:h="16837" w:code="9"/>
      <w:pgMar w:top="567" w:right="1134" w:bottom="567" w:left="1134" w:header="454" w:footer="454" w:gutter="0"/>
      <w:cols w:space="720"/>
      <w:titlePg/>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pPr>
        <w:spacing w:before="0"/>
      </w:pPr>
      <w:r>
        <w:separator/>
      </w:r>
    </w:p>
  </w:endnote>
  <w:endnote w:type="continuationSeparator" w:id="0">
    <w:p>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entury Gothic">
    <w:panose1 w:val="020B0502020202020204"/>
    <w:charset w:val="00"/>
    <w:family w:val="swiss"/>
    <w:pitch w:val="variable"/>
    <w:sig w:usb0="00000287" w:usb1="00000000" w:usb2="00000000" w:usb3="00000000" w:csb0="0000009F" w:csb1="00000000"/>
  </w:font>
  <w:font w:name="MS Mincho">
    <w:altName w:val="MS Gothic"/>
    <w:panose1 w:val="02020609040205080304"/>
    <w:charset w:val="80"/>
    <w:family w:val="roman"/>
    <w:notTrueType/>
    <w:pitch w:val="fixed"/>
    <w:sig w:usb0="00000000" w:usb1="08070000" w:usb2="00000010" w:usb3="00000000" w:csb0="00020000" w:csb1="00000000"/>
  </w:font>
  <w:font w:name="Corbel">
    <w:panose1 w:val="020B0503020204020204"/>
    <w:charset w:val="00"/>
    <w:family w:val="swiss"/>
    <w:pitch w:val="variable"/>
    <w:sig w:usb0="A00002EF" w:usb1="4000A44B" w:usb2="00000000" w:usb3="00000000" w:csb0="0000019F" w:csb1="00000000"/>
  </w:font>
  <w:font w:name="Candara">
    <w:panose1 w:val="020E0502030303020204"/>
    <w:charset w:val="00"/>
    <w:family w:val="swiss"/>
    <w:pitch w:val="variable"/>
    <w:sig w:usb0="A00002EF" w:usb1="4000A44B" w:usb2="00000000" w:usb3="00000000" w:csb0="0000019F" w:csb1="00000000"/>
  </w:font>
  <w:font w:name="Mangal">
    <w:panose1 w:val="00000400000000000000"/>
    <w:charset w:val="01"/>
    <w:family w:val="roman"/>
    <w:notTrueType/>
    <w:pitch w:val="variable"/>
    <w:sig w:usb0="00002000" w:usb1="00000000" w:usb2="00000000" w:usb3="00000000" w:csb0="00000000" w:csb1="00000000"/>
  </w:font>
  <w:font w:name="Microsoft YaHei">
    <w:panose1 w:val="020B0503020204020204"/>
    <w:charset w:val="86"/>
    <w:family w:val="swiss"/>
    <w:pitch w:val="variable"/>
    <w:sig w:usb0="80000287" w:usb1="2ACF3C50" w:usb2="00000016" w:usb3="00000000" w:csb0="0004001F" w:csb1="00000000"/>
  </w:font>
  <w:font w:name="Calibri">
    <w:panose1 w:val="020F0502020204030204"/>
    <w:charset w:val="00"/>
    <w:family w:val="swiss"/>
    <w:pitch w:val="variable"/>
    <w:sig w:usb0="E4002EFF" w:usb1="C000247B" w:usb2="00000009" w:usb3="00000000" w:csb0="000001FF" w:csb1="00000000"/>
  </w:font>
  <w:font w:name="Helvetica-Bold">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CellMar>
        <w:left w:w="70" w:type="dxa"/>
        <w:right w:w="70" w:type="dxa"/>
      </w:tblCellMar>
      <w:tblLook w:val="0000" w:firstRow="0" w:lastRow="0" w:firstColumn="0" w:lastColumn="0" w:noHBand="0" w:noVBand="0"/>
    </w:tblPr>
    <w:tblGrid>
      <w:gridCol w:w="2905"/>
      <w:gridCol w:w="5945"/>
      <w:gridCol w:w="927"/>
    </w:tblGrid>
    <w:tr>
      <w:tc>
        <w:tcPr>
          <w:tcW w:w="2905" w:type="dxa"/>
        </w:tcPr>
        <w:p>
          <w:pPr>
            <w:pStyle w:val="Pieddepage"/>
            <w:spacing w:before="0"/>
            <w:jc w:val="left"/>
            <w:rPr>
              <w:rFonts w:cs="Arial"/>
            </w:rPr>
          </w:pPr>
          <w:r>
            <w:rPr>
              <w:rFonts w:cs="Arial"/>
              <w:noProof/>
            </w:rPr>
            <w:drawing>
              <wp:inline distT="0" distB="0" distL="0" distR="0">
                <wp:extent cx="569346" cy="157574"/>
                <wp:effectExtent l="19050" t="0" r="2154" b="0"/>
                <wp:docPr id="22" name="Image 4" descr="Afficher l’image sour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fficher l’image source"/>
                        <pic:cNvPicPr>
                          <a:picLocks noChangeAspect="1" noChangeArrowheads="1"/>
                        </pic:cNvPicPr>
                      </pic:nvPicPr>
                      <pic:blipFill>
                        <a:blip r:embed="rId1" cstate="print"/>
                        <a:srcRect/>
                        <a:stretch>
                          <a:fillRect/>
                        </a:stretch>
                      </pic:blipFill>
                      <pic:spPr bwMode="auto">
                        <a:xfrm>
                          <a:off x="0" y="0"/>
                          <a:ext cx="570295" cy="157837"/>
                        </a:xfrm>
                        <a:prstGeom prst="rect">
                          <a:avLst/>
                        </a:prstGeom>
                        <a:noFill/>
                        <a:ln w="9525">
                          <a:noFill/>
                          <a:miter lim="800000"/>
                          <a:headEnd/>
                          <a:tailEnd/>
                        </a:ln>
                      </pic:spPr>
                    </pic:pic>
                  </a:graphicData>
                </a:graphic>
              </wp:inline>
            </w:drawing>
          </w:r>
        </w:p>
      </w:tc>
      <w:tc>
        <w:tcPr>
          <w:tcW w:w="5945" w:type="dxa"/>
          <w:vAlign w:val="center"/>
        </w:tcPr>
        <w:p>
          <w:pPr>
            <w:pStyle w:val="Pieddepage"/>
            <w:spacing w:before="0"/>
            <w:rPr>
              <w:rFonts w:cs="Arial"/>
              <w:color w:val="333333"/>
              <w:sz w:val="12"/>
              <w:szCs w:val="14"/>
            </w:rPr>
          </w:pPr>
          <w:r>
            <w:rPr>
              <w:rFonts w:cs="Arial"/>
              <w:color w:val="333333"/>
              <w:sz w:val="12"/>
              <w:szCs w:val="14"/>
            </w:rPr>
            <w:t>.</w:t>
          </w:r>
        </w:p>
      </w:tc>
      <w:tc>
        <w:tcPr>
          <w:tcW w:w="927" w:type="dxa"/>
          <w:vAlign w:val="center"/>
        </w:tcPr>
        <w:p>
          <w:pPr>
            <w:pStyle w:val="Pieddepage"/>
            <w:spacing w:before="0"/>
            <w:jc w:val="right"/>
            <w:rPr>
              <w:rFonts w:cs="Arial"/>
            </w:rPr>
          </w:pPr>
          <w:r>
            <w:rPr>
              <w:rFonts w:cs="Arial"/>
            </w:rPr>
            <w:t xml:space="preserve">Page </w:t>
          </w:r>
          <w:r>
            <w:rPr>
              <w:rFonts w:cs="Arial"/>
            </w:rPr>
            <w:fldChar w:fldCharType="begin"/>
          </w:r>
          <w:r>
            <w:rPr>
              <w:rFonts w:cs="Arial"/>
            </w:rPr>
            <w:instrText xml:space="preserve"> PAGE  \* MERGEFORMAT </w:instrText>
          </w:r>
          <w:r>
            <w:rPr>
              <w:rFonts w:cs="Arial"/>
            </w:rPr>
            <w:fldChar w:fldCharType="separate"/>
          </w:r>
          <w:r>
            <w:rPr>
              <w:rFonts w:cs="Arial"/>
              <w:noProof/>
            </w:rPr>
            <w:t>36</w:t>
          </w:r>
          <w:r>
            <w:rPr>
              <w:rFonts w:cs="Arial"/>
            </w:rPr>
            <w:fldChar w:fldCharType="end"/>
          </w:r>
          <w:r>
            <w:rPr>
              <w:rFonts w:cs="Arial"/>
            </w:rPr>
            <w:t>/</w:t>
          </w:r>
          <w:r>
            <w:rPr>
              <w:rFonts w:cs="Arial"/>
              <w:noProof/>
            </w:rPr>
            <w:fldChar w:fldCharType="begin"/>
          </w:r>
          <w:r>
            <w:rPr>
              <w:rFonts w:cs="Arial"/>
              <w:noProof/>
            </w:rPr>
            <w:instrText xml:space="preserve"> NUMPAGES  \* MERGEFORMAT </w:instrText>
          </w:r>
          <w:r>
            <w:rPr>
              <w:rFonts w:cs="Arial"/>
              <w:noProof/>
            </w:rPr>
            <w:fldChar w:fldCharType="separate"/>
          </w:r>
          <w:r>
            <w:rPr>
              <w:rFonts w:cs="Arial"/>
              <w:noProof/>
            </w:rPr>
            <w:t>36</w:t>
          </w:r>
          <w:r>
            <w:rPr>
              <w:rFonts w:cs="Arial"/>
              <w:noProof/>
            </w:rPr>
            <w:fldChar w:fldCharType="end"/>
          </w:r>
        </w:p>
        <w:p>
          <w:pPr>
            <w:pStyle w:val="Pieddepage"/>
            <w:spacing w:before="0"/>
            <w:jc w:val="right"/>
            <w:rPr>
              <w:rFonts w:cs="Arial"/>
            </w:rPr>
          </w:pPr>
          <w:r>
            <w:rPr>
              <w:rFonts w:cs="Arial"/>
            </w:rPr>
            <w:fldChar w:fldCharType="begin"/>
          </w:r>
          <w:r>
            <w:rPr>
              <w:rFonts w:cs="Arial"/>
            </w:rPr>
            <w:instrText xml:space="preserve"> SAVEDATE \@ "dd/MM/yyyy" \* MERGEFORMAT </w:instrText>
          </w:r>
          <w:r>
            <w:rPr>
              <w:rFonts w:cs="Arial"/>
            </w:rPr>
            <w:fldChar w:fldCharType="separate"/>
          </w:r>
          <w:r>
            <w:rPr>
              <w:rFonts w:cs="Arial"/>
              <w:noProof/>
            </w:rPr>
            <w:t>10/01/2022</w:t>
          </w:r>
          <w:r>
            <w:rPr>
              <w:rFonts w:cs="Arial"/>
            </w:rPr>
            <w:fldChar w:fldCharType="end"/>
          </w:r>
        </w:p>
      </w:tc>
    </w:tr>
  </w:tbl>
  <w:p>
    <w:pPr>
      <w:pStyle w:val="Pieddepage"/>
      <w:jc w:val="both"/>
      <w:rPr>
        <w:sz w:val="4"/>
        <w:szCs w:val="4"/>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pPr>
        <w:spacing w:before="0"/>
      </w:pPr>
      <w:r>
        <w:separator/>
      </w:r>
    </w:p>
  </w:footnote>
  <w:footnote w:type="continuationSeparator" w:id="0">
    <w:p>
      <w:pPr>
        <w:spacing w:before="0"/>
      </w:pPr>
      <w:r>
        <w:continuationSeparator/>
      </w:r>
    </w:p>
  </w:footnote>
  <w:footnote w:id="1">
    <w:p>
      <w:pPr>
        <w:pStyle w:val="Notedebasdepage"/>
        <w:rPr>
          <w:i/>
        </w:rPr>
      </w:pPr>
      <w:r>
        <w:rPr>
          <w:rStyle w:val="Appelnotedebasdep"/>
          <w:rFonts w:ascii="Arial Narrow" w:hAnsi="Arial Narrow"/>
          <w:i w:val="0"/>
          <w:sz w:val="20"/>
        </w:rPr>
        <w:footnoteRef/>
      </w:r>
      <w:r>
        <w:rPr>
          <w:i/>
        </w:rPr>
        <w:t xml:space="preserve"> Calculé sur la moyenne de la charge maximum de DBO</w:t>
      </w:r>
      <w:r>
        <w:rPr>
          <w:i/>
          <w:vertAlign w:val="subscript"/>
        </w:rPr>
        <w:t>5</w:t>
      </w:r>
      <w:r>
        <w:rPr>
          <w:i/>
        </w:rPr>
        <w:t xml:space="preserve"> de chaque année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CellMar>
        <w:left w:w="70" w:type="dxa"/>
        <w:right w:w="70" w:type="dxa"/>
      </w:tblCellMar>
      <w:tblLook w:val="0000" w:firstRow="0" w:lastRow="0" w:firstColumn="0" w:lastColumn="0" w:noHBand="0" w:noVBand="0"/>
    </w:tblPr>
    <w:tblGrid>
      <w:gridCol w:w="1072"/>
      <w:gridCol w:w="8705"/>
    </w:tblGrid>
    <w:tr>
      <w:tc>
        <w:tcPr>
          <w:tcW w:w="1072" w:type="dxa"/>
          <w:vAlign w:val="center"/>
        </w:tcPr>
        <w:p>
          <w:pPr>
            <w:pStyle w:val="En-tte"/>
          </w:pPr>
          <w:r>
            <w:rPr>
              <w:noProof/>
            </w:rPr>
            <w:drawing>
              <wp:inline distT="0" distB="0" distL="0" distR="0">
                <wp:extent cx="425751" cy="198408"/>
                <wp:effectExtent l="0" t="0" r="0" b="0"/>
                <wp:docPr id="1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srcRect/>
                        <a:stretch>
                          <a:fillRect/>
                        </a:stretch>
                      </pic:blipFill>
                      <pic:spPr bwMode="auto">
                        <a:xfrm>
                          <a:off x="0" y="0"/>
                          <a:ext cx="425751" cy="198408"/>
                        </a:xfrm>
                        <a:prstGeom prst="rect">
                          <a:avLst/>
                        </a:prstGeom>
                        <a:noFill/>
                        <a:ln w="9525">
                          <a:noFill/>
                          <a:miter lim="800000"/>
                          <a:headEnd/>
                          <a:tailEnd/>
                        </a:ln>
                      </pic:spPr>
                    </pic:pic>
                  </a:graphicData>
                </a:graphic>
              </wp:inline>
            </w:drawing>
          </w:r>
        </w:p>
      </w:tc>
      <w:tc>
        <w:tcPr>
          <w:tcW w:w="8705" w:type="dxa"/>
          <w:vAlign w:val="center"/>
        </w:tcPr>
        <w:p>
          <w:pPr>
            <w:pStyle w:val="En-tte"/>
            <w:spacing w:before="120"/>
            <w:rPr>
              <w:color w:val="0070C0"/>
            </w:rPr>
          </w:pPr>
          <w:r>
            <w:rPr>
              <w:b/>
              <w:bCs/>
              <w:color w:val="0070C0"/>
            </w:rPr>
            <w:t>Nîmes Métropole</w:t>
          </w:r>
        </w:p>
        <w:p>
          <w:pPr>
            <w:pStyle w:val="En-tte"/>
            <w:rPr>
              <w:color w:val="262626"/>
            </w:rPr>
          </w:pPr>
          <w:r>
            <w:rPr>
              <w:color w:val="262626"/>
            </w:rPr>
            <w:t xml:space="preserve">Schéma directeur d’assainissement des communes de </w:t>
          </w:r>
          <w:proofErr w:type="spellStart"/>
          <w:r>
            <w:rPr>
              <w:color w:val="262626"/>
            </w:rPr>
            <w:t>Bezouce</w:t>
          </w:r>
          <w:proofErr w:type="spellEnd"/>
          <w:r>
            <w:rPr>
              <w:color w:val="262626"/>
            </w:rPr>
            <w:t xml:space="preserve"> et Saint-</w:t>
          </w:r>
          <w:proofErr w:type="spellStart"/>
          <w:r>
            <w:rPr>
              <w:color w:val="262626"/>
            </w:rPr>
            <w:t>Gervasy</w:t>
          </w:r>
          <w:proofErr w:type="spellEnd"/>
          <w:r>
            <w:rPr>
              <w:color w:val="262626"/>
            </w:rPr>
            <w:t xml:space="preserve"> – Rapport de synthèse</w:t>
          </w:r>
        </w:p>
        <w:p>
          <w:pPr>
            <w:pStyle w:val="En-tte"/>
          </w:pPr>
        </w:p>
      </w:tc>
    </w:tr>
  </w:tbl>
  <w:p>
    <w:pPr>
      <w:pStyle w:val="En-tte"/>
      <w:rPr>
        <w:sz w:val="4"/>
        <w:szCs w:val="4"/>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9465" w:type="dxa"/>
      <w:tblCellMar>
        <w:left w:w="70" w:type="dxa"/>
        <w:right w:w="70" w:type="dxa"/>
      </w:tblCellMar>
      <w:tblLook w:val="0000" w:firstRow="0" w:lastRow="0" w:firstColumn="0" w:lastColumn="0" w:noHBand="0" w:noVBand="0"/>
    </w:tblPr>
    <w:tblGrid>
      <w:gridCol w:w="978"/>
      <w:gridCol w:w="8873"/>
      <w:gridCol w:w="967"/>
      <w:gridCol w:w="8647"/>
    </w:tblGrid>
    <w:tr>
      <w:tc>
        <w:tcPr>
          <w:tcW w:w="978" w:type="dxa"/>
          <w:vAlign w:val="center"/>
        </w:tcPr>
        <w:p>
          <w:pPr>
            <w:pStyle w:val="Nomfichier"/>
          </w:pPr>
        </w:p>
      </w:tc>
      <w:tc>
        <w:tcPr>
          <w:tcW w:w="8873" w:type="dxa"/>
          <w:vAlign w:val="center"/>
        </w:tcPr>
        <w:p>
          <w:pPr>
            <w:pStyle w:val="En-tte"/>
          </w:pPr>
        </w:p>
      </w:tc>
      <w:tc>
        <w:tcPr>
          <w:tcW w:w="967" w:type="dxa"/>
        </w:tcPr>
        <w:p>
          <w:pPr>
            <w:pStyle w:val="Nomfichier"/>
          </w:pPr>
        </w:p>
      </w:tc>
      <w:tc>
        <w:tcPr>
          <w:tcW w:w="8647" w:type="dxa"/>
        </w:tcPr>
        <w:p>
          <w:pPr>
            <w:pStyle w:val="Nomfichier"/>
          </w:pPr>
        </w:p>
      </w:tc>
    </w:tr>
  </w:tbl>
  <w:p>
    <w:pPr>
      <w:pStyle w:val="En-tt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FE"/>
    <w:multiLevelType w:val="singleLevel"/>
    <w:tmpl w:val="9E662AE4"/>
    <w:lvl w:ilvl="0">
      <w:numFmt w:val="decimal"/>
      <w:pStyle w:val="Anomalies"/>
      <w:lvlText w:val="*"/>
      <w:lvlJc w:val="left"/>
    </w:lvl>
  </w:abstractNum>
  <w:abstractNum w:abstractNumId="1" w15:restartNumberingAfterBreak="0">
    <w:nsid w:val="00000002"/>
    <w:multiLevelType w:val="singleLevel"/>
    <w:tmpl w:val="00000002"/>
    <w:name w:val="WW8Num2"/>
    <w:lvl w:ilvl="0">
      <w:start w:val="1"/>
      <w:numFmt w:val="bullet"/>
      <w:suff w:val="space"/>
      <w:lvlText w:val=""/>
      <w:lvlJc w:val="left"/>
      <w:pPr>
        <w:tabs>
          <w:tab w:val="num" w:pos="0"/>
        </w:tabs>
        <w:ind w:left="227" w:hanging="227"/>
      </w:pPr>
      <w:rPr>
        <w:rFonts w:ascii="Wingdings" w:hAnsi="Wingdings" w:cs="Times New Roman"/>
        <w:sz w:val="26"/>
        <w:szCs w:val="26"/>
      </w:rPr>
    </w:lvl>
  </w:abstractNum>
  <w:abstractNum w:abstractNumId="2" w15:restartNumberingAfterBreak="0">
    <w:nsid w:val="01E024A8"/>
    <w:multiLevelType w:val="hybridMultilevel"/>
    <w:tmpl w:val="3D2C3EFE"/>
    <w:lvl w:ilvl="0" w:tplc="4C52696E">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12FD2EC9"/>
    <w:multiLevelType w:val="hybridMultilevel"/>
    <w:tmpl w:val="28324A50"/>
    <w:lvl w:ilvl="0" w:tplc="FF6EBE7C">
      <w:start w:val="1"/>
      <w:numFmt w:val="bullet"/>
      <w:lvlText w:val=""/>
      <w:lvlJc w:val="left"/>
      <w:pPr>
        <w:ind w:left="720" w:hanging="360"/>
      </w:pPr>
      <w:rPr>
        <w:rFonts w:ascii="Symbol" w:hAnsi="Symbol" w:hint="default"/>
        <w:b w:val="0"/>
        <w:i w:val="0"/>
        <w:color w:val="00B050"/>
        <w:sz w:val="24"/>
        <w:u w:val="none"/>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BFD78B6"/>
    <w:multiLevelType w:val="singleLevel"/>
    <w:tmpl w:val="C5B4086E"/>
    <w:lvl w:ilvl="0">
      <w:start w:val="1"/>
      <w:numFmt w:val="bullet"/>
      <w:pStyle w:val="EnumPoint"/>
      <w:lvlText w:val=""/>
      <w:lvlJc w:val="left"/>
      <w:pPr>
        <w:tabs>
          <w:tab w:val="num" w:pos="360"/>
        </w:tabs>
        <w:ind w:left="360" w:hanging="360"/>
      </w:pPr>
      <w:rPr>
        <w:rFonts w:ascii="Symbol" w:hAnsi="Symbol" w:hint="default"/>
      </w:rPr>
    </w:lvl>
  </w:abstractNum>
  <w:abstractNum w:abstractNumId="5" w15:restartNumberingAfterBreak="0">
    <w:nsid w:val="1C371DAE"/>
    <w:multiLevelType w:val="hybridMultilevel"/>
    <w:tmpl w:val="A8C2ABF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C407EE3"/>
    <w:multiLevelType w:val="hybridMultilevel"/>
    <w:tmpl w:val="422A92A2"/>
    <w:lvl w:ilvl="0" w:tplc="2D021042">
      <w:start w:val="1"/>
      <w:numFmt w:val="bullet"/>
      <w:lvlText w:val=""/>
      <w:lvlJc w:val="left"/>
      <w:pPr>
        <w:ind w:left="720" w:hanging="360"/>
      </w:pPr>
      <w:rPr>
        <w:rFonts w:ascii="Wingdings" w:hAnsi="Wingdings" w:hint="default"/>
      </w:rPr>
    </w:lvl>
    <w:lvl w:ilvl="1" w:tplc="8D9AE5CC">
      <w:start w:val="1"/>
      <w:numFmt w:val="bullet"/>
      <w:pStyle w:val="retrait2"/>
      <w:lvlText w:val=""/>
      <w:lvlJc w:val="left"/>
      <w:pPr>
        <w:ind w:left="1440" w:hanging="360"/>
      </w:pPr>
      <w:rPr>
        <w:rFonts w:ascii="Wingdings" w:hAnsi="Wingdings" w:hint="default"/>
      </w:rPr>
    </w:lvl>
    <w:lvl w:ilvl="2" w:tplc="040C0005">
      <w:start w:val="1"/>
      <w:numFmt w:val="bullet"/>
      <w:lvlText w:val=""/>
      <w:lvlJc w:val="left"/>
      <w:pPr>
        <w:ind w:left="2160" w:hanging="360"/>
      </w:pPr>
      <w:rPr>
        <w:rFonts w:ascii="Wingdings" w:hAnsi="Wingdings" w:hint="default"/>
      </w:rPr>
    </w:lvl>
    <w:lvl w:ilvl="3" w:tplc="D974E19A">
      <w:numFmt w:val="bullet"/>
      <w:lvlText w:val=""/>
      <w:lvlJc w:val="left"/>
      <w:pPr>
        <w:ind w:left="2880" w:hanging="360"/>
      </w:pPr>
      <w:rPr>
        <w:rFonts w:ascii="Wingdings" w:eastAsia="Times New Roman" w:hAnsi="Wingdings" w:cs="Times New Roman"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216E34E2"/>
    <w:multiLevelType w:val="multilevel"/>
    <w:tmpl w:val="8CC4DFF4"/>
    <w:lvl w:ilvl="0">
      <w:numFmt w:val="decimal"/>
      <w:pStyle w:val="Titre1"/>
      <w:suff w:val="space"/>
      <w:lvlText w:val="%1."/>
      <w:lvlJc w:val="left"/>
      <w:pPr>
        <w:ind w:left="432" w:hanging="432"/>
      </w:pPr>
      <w:rPr>
        <w:rFonts w:hint="default"/>
      </w:rPr>
    </w:lvl>
    <w:lvl w:ilvl="1">
      <w:start w:val="1"/>
      <w:numFmt w:val="decimal"/>
      <w:pStyle w:val="Titre2"/>
      <w:suff w:val="space"/>
      <w:lvlText w:val="%1.%2."/>
      <w:lvlJc w:val="left"/>
      <w:pPr>
        <w:ind w:left="576" w:hanging="576"/>
      </w:pPr>
      <w:rPr>
        <w:rFonts w:hint="default"/>
      </w:rPr>
    </w:lvl>
    <w:lvl w:ilvl="2">
      <w:start w:val="1"/>
      <w:numFmt w:val="decimal"/>
      <w:pStyle w:val="Titre3"/>
      <w:suff w:val="space"/>
      <w:lvlText w:val="%1.%2.%3."/>
      <w:lvlJc w:val="left"/>
      <w:pPr>
        <w:ind w:left="720" w:hanging="720"/>
      </w:pPr>
      <w:rPr>
        <w:rFonts w:hint="default"/>
      </w:rPr>
    </w:lvl>
    <w:lvl w:ilvl="3">
      <w:start w:val="1"/>
      <w:numFmt w:val="decimal"/>
      <w:pStyle w:val="Titre4"/>
      <w:suff w:val="space"/>
      <w:lvlText w:val="%1.%2.%3.%4."/>
      <w:lvlJc w:val="left"/>
      <w:pPr>
        <w:ind w:left="864" w:hanging="864"/>
      </w:pPr>
      <w:rPr>
        <w:rFonts w:hint="default"/>
      </w:rPr>
    </w:lvl>
    <w:lvl w:ilvl="4">
      <w:start w:val="1"/>
      <w:numFmt w:val="decimal"/>
      <w:pStyle w:val="Titre5"/>
      <w:suff w:val="space"/>
      <w:lvlText w:val="%1.%2.%3.%4.%5."/>
      <w:lvlJc w:val="left"/>
      <w:pPr>
        <w:ind w:left="1008" w:hanging="1008"/>
      </w:pPr>
      <w:rPr>
        <w:rFonts w:hint="default"/>
      </w:rPr>
    </w:lvl>
    <w:lvl w:ilvl="5">
      <w:start w:val="1"/>
      <w:numFmt w:val="decimal"/>
      <w:pStyle w:val="Titre6"/>
      <w:suff w:val="space"/>
      <w:lvlText w:val="%1.%2.%3.%4.%5.%6."/>
      <w:lvlJc w:val="left"/>
      <w:pPr>
        <w:ind w:left="1152" w:hanging="1152"/>
      </w:pPr>
      <w:rPr>
        <w:rFonts w:hint="default"/>
      </w:rPr>
    </w:lvl>
    <w:lvl w:ilvl="6">
      <w:start w:val="1"/>
      <w:numFmt w:val="decimal"/>
      <w:pStyle w:val="Titre7"/>
      <w:suff w:val="space"/>
      <w:lvlText w:val="%1.%2.%3.%4.%5.%6.%7."/>
      <w:lvlJc w:val="left"/>
      <w:pPr>
        <w:ind w:left="1296" w:hanging="1296"/>
      </w:pPr>
      <w:rPr>
        <w:rFonts w:hint="default"/>
      </w:rPr>
    </w:lvl>
    <w:lvl w:ilvl="7">
      <w:start w:val="1"/>
      <w:numFmt w:val="decimal"/>
      <w:pStyle w:val="Titre8"/>
      <w:lvlText w:val="%1.%2.%3.%4.%5.%6.%7.%8"/>
      <w:lvlJc w:val="left"/>
      <w:pPr>
        <w:tabs>
          <w:tab w:val="num" w:pos="1440"/>
        </w:tabs>
        <w:ind w:left="1440" w:hanging="1440"/>
      </w:pPr>
      <w:rPr>
        <w:rFonts w:hint="default"/>
      </w:rPr>
    </w:lvl>
    <w:lvl w:ilvl="8">
      <w:start w:val="1"/>
      <w:numFmt w:val="decimal"/>
      <w:pStyle w:val="Titre9"/>
      <w:lvlText w:val="%1.%2.%3.%4.%5.%6.%7.%8.%9"/>
      <w:lvlJc w:val="left"/>
      <w:pPr>
        <w:tabs>
          <w:tab w:val="num" w:pos="1584"/>
        </w:tabs>
        <w:ind w:left="1584" w:hanging="1584"/>
      </w:pPr>
      <w:rPr>
        <w:rFonts w:hint="default"/>
      </w:rPr>
    </w:lvl>
  </w:abstractNum>
  <w:abstractNum w:abstractNumId="8" w15:restartNumberingAfterBreak="0">
    <w:nsid w:val="23F650F6"/>
    <w:multiLevelType w:val="hybridMultilevel"/>
    <w:tmpl w:val="DCA2AECA"/>
    <w:lvl w:ilvl="0" w:tplc="FE9E8F92">
      <w:start w:val="1"/>
      <w:numFmt w:val="bullet"/>
      <w:pStyle w:val="retrai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432E6EA0"/>
    <w:multiLevelType w:val="hybridMultilevel"/>
    <w:tmpl w:val="7FAA0C5A"/>
    <w:lvl w:ilvl="0" w:tplc="C7DCDA78">
      <w:start w:val="1"/>
      <w:numFmt w:val="bullet"/>
      <w:pStyle w:val="Retrait0"/>
      <w:lvlText w:val=""/>
      <w:lvlJc w:val="left"/>
      <w:pPr>
        <w:tabs>
          <w:tab w:val="num" w:pos="360"/>
        </w:tabs>
        <w:ind w:left="340" w:hanging="340"/>
      </w:pPr>
      <w:rPr>
        <w:rFonts w:ascii="Wingdings" w:hAnsi="Wingdings" w:hint="default"/>
        <w:b/>
        <w:i w:val="0"/>
        <w:color w:val="666699"/>
        <w:sz w:val="24"/>
        <w:u w:val="none"/>
      </w:rPr>
    </w:lvl>
    <w:lvl w:ilvl="1" w:tplc="040C0003" w:tentative="1">
      <w:start w:val="1"/>
      <w:numFmt w:val="bullet"/>
      <w:lvlText w:val="o"/>
      <w:lvlJc w:val="left"/>
      <w:pPr>
        <w:tabs>
          <w:tab w:val="num" w:pos="1440"/>
        </w:tabs>
        <w:ind w:left="1440" w:hanging="360"/>
      </w:pPr>
      <w:rPr>
        <w:rFonts w:ascii="Courier New" w:hAnsi="Courier New" w:hint="default"/>
      </w:rPr>
    </w:lvl>
    <w:lvl w:ilvl="2" w:tplc="A5E86802" w:tentative="1">
      <w:start w:val="1"/>
      <w:numFmt w:val="bullet"/>
      <w:lvlText w:val=""/>
      <w:lvlJc w:val="left"/>
      <w:pPr>
        <w:tabs>
          <w:tab w:val="num" w:pos="2160"/>
        </w:tabs>
        <w:ind w:left="2160" w:hanging="360"/>
      </w:pPr>
      <w:rPr>
        <w:rFonts w:ascii="Wingdings" w:hAnsi="Wingdings" w:hint="default"/>
      </w:rPr>
    </w:lvl>
    <w:lvl w:ilvl="3" w:tplc="7434799C"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4C0F1406"/>
    <w:multiLevelType w:val="hybridMultilevel"/>
    <w:tmpl w:val="26D4EA24"/>
    <w:lvl w:ilvl="0" w:tplc="151E8686">
      <w:start w:val="1"/>
      <w:numFmt w:val="bullet"/>
      <w:pStyle w:val="04-titre5"/>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510D2D8C"/>
    <w:multiLevelType w:val="hybridMultilevel"/>
    <w:tmpl w:val="079E8FE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52792906"/>
    <w:multiLevelType w:val="hybridMultilevel"/>
    <w:tmpl w:val="F8C09FB2"/>
    <w:lvl w:ilvl="0" w:tplc="27F89B94">
      <w:start w:val="1"/>
      <w:numFmt w:val="bullet"/>
      <w:pStyle w:val="Retrait20"/>
      <w:lvlText w:val=""/>
      <w:lvlJc w:val="left"/>
      <w:pPr>
        <w:tabs>
          <w:tab w:val="num" w:pos="928"/>
        </w:tabs>
        <w:ind w:left="908" w:hanging="340"/>
      </w:pPr>
      <w:rPr>
        <w:rFonts w:ascii="Symbol" w:hAnsi="Symbol" w:hint="default"/>
        <w:b w:val="0"/>
        <w:i w:val="0"/>
        <w:color w:val="333333"/>
        <w:sz w:val="20"/>
        <w:u w:val="none"/>
      </w:rPr>
    </w:lvl>
    <w:lvl w:ilvl="1" w:tplc="2AB0FECA">
      <w:start w:val="1"/>
      <w:numFmt w:val="bullet"/>
      <w:lvlText w:val="o"/>
      <w:lvlJc w:val="left"/>
      <w:pPr>
        <w:tabs>
          <w:tab w:val="num" w:pos="1440"/>
        </w:tabs>
        <w:ind w:left="1440" w:hanging="360"/>
      </w:pPr>
      <w:rPr>
        <w:rFonts w:ascii="Courier New" w:hAnsi="Courier New" w:hint="default"/>
      </w:rPr>
    </w:lvl>
    <w:lvl w:ilvl="2" w:tplc="49BAB662" w:tentative="1">
      <w:start w:val="1"/>
      <w:numFmt w:val="bullet"/>
      <w:lvlText w:val=""/>
      <w:lvlJc w:val="left"/>
      <w:pPr>
        <w:tabs>
          <w:tab w:val="num" w:pos="2160"/>
        </w:tabs>
        <w:ind w:left="2160" w:hanging="360"/>
      </w:pPr>
      <w:rPr>
        <w:rFonts w:ascii="Wingdings" w:hAnsi="Wingdings" w:hint="default"/>
      </w:rPr>
    </w:lvl>
    <w:lvl w:ilvl="3" w:tplc="3BDE22D4" w:tentative="1">
      <w:start w:val="1"/>
      <w:numFmt w:val="bullet"/>
      <w:lvlText w:val=""/>
      <w:lvlJc w:val="left"/>
      <w:pPr>
        <w:tabs>
          <w:tab w:val="num" w:pos="2880"/>
        </w:tabs>
        <w:ind w:left="2880" w:hanging="360"/>
      </w:pPr>
      <w:rPr>
        <w:rFonts w:ascii="Symbol" w:hAnsi="Symbol" w:hint="default"/>
      </w:rPr>
    </w:lvl>
    <w:lvl w:ilvl="4" w:tplc="6A18B22E" w:tentative="1">
      <w:start w:val="1"/>
      <w:numFmt w:val="bullet"/>
      <w:lvlText w:val="o"/>
      <w:lvlJc w:val="left"/>
      <w:pPr>
        <w:tabs>
          <w:tab w:val="num" w:pos="3600"/>
        </w:tabs>
        <w:ind w:left="3600" w:hanging="360"/>
      </w:pPr>
      <w:rPr>
        <w:rFonts w:ascii="Courier New" w:hAnsi="Courier New" w:hint="default"/>
      </w:rPr>
    </w:lvl>
    <w:lvl w:ilvl="5" w:tplc="118C86DA" w:tentative="1">
      <w:start w:val="1"/>
      <w:numFmt w:val="bullet"/>
      <w:lvlText w:val=""/>
      <w:lvlJc w:val="left"/>
      <w:pPr>
        <w:tabs>
          <w:tab w:val="num" w:pos="4320"/>
        </w:tabs>
        <w:ind w:left="4320" w:hanging="360"/>
      </w:pPr>
      <w:rPr>
        <w:rFonts w:ascii="Wingdings" w:hAnsi="Wingdings" w:hint="default"/>
      </w:rPr>
    </w:lvl>
    <w:lvl w:ilvl="6" w:tplc="BCB4ED2C" w:tentative="1">
      <w:start w:val="1"/>
      <w:numFmt w:val="bullet"/>
      <w:lvlText w:val=""/>
      <w:lvlJc w:val="left"/>
      <w:pPr>
        <w:tabs>
          <w:tab w:val="num" w:pos="5040"/>
        </w:tabs>
        <w:ind w:left="5040" w:hanging="360"/>
      </w:pPr>
      <w:rPr>
        <w:rFonts w:ascii="Symbol" w:hAnsi="Symbol" w:hint="default"/>
      </w:rPr>
    </w:lvl>
    <w:lvl w:ilvl="7" w:tplc="2FA404CA" w:tentative="1">
      <w:start w:val="1"/>
      <w:numFmt w:val="bullet"/>
      <w:lvlText w:val="o"/>
      <w:lvlJc w:val="left"/>
      <w:pPr>
        <w:tabs>
          <w:tab w:val="num" w:pos="5760"/>
        </w:tabs>
        <w:ind w:left="5760" w:hanging="360"/>
      </w:pPr>
      <w:rPr>
        <w:rFonts w:ascii="Courier New" w:hAnsi="Courier New" w:hint="default"/>
      </w:rPr>
    </w:lvl>
    <w:lvl w:ilvl="8" w:tplc="17323286"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4227680"/>
    <w:multiLevelType w:val="hybridMultilevel"/>
    <w:tmpl w:val="4F1E9BA6"/>
    <w:lvl w:ilvl="0" w:tplc="74D21406">
      <w:start w:val="1"/>
      <w:numFmt w:val="bullet"/>
      <w:pStyle w:val="Style1"/>
      <w:lvlText w:val=""/>
      <w:lvlJc w:val="left"/>
      <w:pPr>
        <w:tabs>
          <w:tab w:val="num" w:pos="1778"/>
        </w:tabs>
        <w:ind w:left="1778" w:hanging="360"/>
      </w:pPr>
      <w:rPr>
        <w:rFonts w:ascii="Symbol" w:hAnsi="Symbol" w:hint="default"/>
        <w:color w:val="000000"/>
        <w:sz w:val="18"/>
      </w:rPr>
    </w:lvl>
    <w:lvl w:ilvl="1" w:tplc="040C0003" w:tentative="1">
      <w:start w:val="1"/>
      <w:numFmt w:val="bullet"/>
      <w:lvlText w:val="o"/>
      <w:lvlJc w:val="left"/>
      <w:pPr>
        <w:tabs>
          <w:tab w:val="num" w:pos="2858"/>
        </w:tabs>
        <w:ind w:left="2858" w:hanging="360"/>
      </w:pPr>
      <w:rPr>
        <w:rFonts w:ascii="Courier New" w:hAnsi="Courier New" w:hint="default"/>
      </w:rPr>
    </w:lvl>
    <w:lvl w:ilvl="2" w:tplc="040C0005" w:tentative="1">
      <w:start w:val="1"/>
      <w:numFmt w:val="bullet"/>
      <w:lvlText w:val=""/>
      <w:lvlJc w:val="left"/>
      <w:pPr>
        <w:tabs>
          <w:tab w:val="num" w:pos="3578"/>
        </w:tabs>
        <w:ind w:left="3578" w:hanging="360"/>
      </w:pPr>
      <w:rPr>
        <w:rFonts w:ascii="Wingdings" w:hAnsi="Wingdings" w:hint="default"/>
      </w:rPr>
    </w:lvl>
    <w:lvl w:ilvl="3" w:tplc="040C0001" w:tentative="1">
      <w:start w:val="1"/>
      <w:numFmt w:val="bullet"/>
      <w:lvlText w:val=""/>
      <w:lvlJc w:val="left"/>
      <w:pPr>
        <w:tabs>
          <w:tab w:val="num" w:pos="4298"/>
        </w:tabs>
        <w:ind w:left="4298" w:hanging="360"/>
      </w:pPr>
      <w:rPr>
        <w:rFonts w:ascii="Symbol" w:hAnsi="Symbol" w:hint="default"/>
      </w:rPr>
    </w:lvl>
    <w:lvl w:ilvl="4" w:tplc="040C0003" w:tentative="1">
      <w:start w:val="1"/>
      <w:numFmt w:val="bullet"/>
      <w:lvlText w:val="o"/>
      <w:lvlJc w:val="left"/>
      <w:pPr>
        <w:tabs>
          <w:tab w:val="num" w:pos="5018"/>
        </w:tabs>
        <w:ind w:left="5018" w:hanging="360"/>
      </w:pPr>
      <w:rPr>
        <w:rFonts w:ascii="Courier New" w:hAnsi="Courier New" w:hint="default"/>
      </w:rPr>
    </w:lvl>
    <w:lvl w:ilvl="5" w:tplc="040C0005" w:tentative="1">
      <w:start w:val="1"/>
      <w:numFmt w:val="bullet"/>
      <w:lvlText w:val=""/>
      <w:lvlJc w:val="left"/>
      <w:pPr>
        <w:tabs>
          <w:tab w:val="num" w:pos="5738"/>
        </w:tabs>
        <w:ind w:left="5738" w:hanging="360"/>
      </w:pPr>
      <w:rPr>
        <w:rFonts w:ascii="Wingdings" w:hAnsi="Wingdings" w:hint="default"/>
      </w:rPr>
    </w:lvl>
    <w:lvl w:ilvl="6" w:tplc="040C0001" w:tentative="1">
      <w:start w:val="1"/>
      <w:numFmt w:val="bullet"/>
      <w:lvlText w:val=""/>
      <w:lvlJc w:val="left"/>
      <w:pPr>
        <w:tabs>
          <w:tab w:val="num" w:pos="6458"/>
        </w:tabs>
        <w:ind w:left="6458" w:hanging="360"/>
      </w:pPr>
      <w:rPr>
        <w:rFonts w:ascii="Symbol" w:hAnsi="Symbol" w:hint="default"/>
      </w:rPr>
    </w:lvl>
    <w:lvl w:ilvl="7" w:tplc="040C0003" w:tentative="1">
      <w:start w:val="1"/>
      <w:numFmt w:val="bullet"/>
      <w:lvlText w:val="o"/>
      <w:lvlJc w:val="left"/>
      <w:pPr>
        <w:tabs>
          <w:tab w:val="num" w:pos="7178"/>
        </w:tabs>
        <w:ind w:left="7178" w:hanging="360"/>
      </w:pPr>
      <w:rPr>
        <w:rFonts w:ascii="Courier New" w:hAnsi="Courier New" w:hint="default"/>
      </w:rPr>
    </w:lvl>
    <w:lvl w:ilvl="8" w:tplc="040C0005" w:tentative="1">
      <w:start w:val="1"/>
      <w:numFmt w:val="bullet"/>
      <w:lvlText w:val=""/>
      <w:lvlJc w:val="left"/>
      <w:pPr>
        <w:tabs>
          <w:tab w:val="num" w:pos="7898"/>
        </w:tabs>
        <w:ind w:left="7898" w:hanging="360"/>
      </w:pPr>
      <w:rPr>
        <w:rFonts w:ascii="Wingdings" w:hAnsi="Wingdings" w:hint="default"/>
      </w:rPr>
    </w:lvl>
  </w:abstractNum>
  <w:abstractNum w:abstractNumId="14" w15:restartNumberingAfterBreak="0">
    <w:nsid w:val="577A3D90"/>
    <w:multiLevelType w:val="hybridMultilevel"/>
    <w:tmpl w:val="3D2C3EFE"/>
    <w:lvl w:ilvl="0" w:tplc="4C52696E">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15:restartNumberingAfterBreak="0">
    <w:nsid w:val="5C270E39"/>
    <w:multiLevelType w:val="hybridMultilevel"/>
    <w:tmpl w:val="84E26AD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661B649F"/>
    <w:multiLevelType w:val="hybridMultilevel"/>
    <w:tmpl w:val="AC9A02A2"/>
    <w:lvl w:ilvl="0" w:tplc="D8F6CDC8">
      <w:start w:val="1"/>
      <w:numFmt w:val="bullet"/>
      <w:pStyle w:val="Retrait3"/>
      <w:lvlText w:val=""/>
      <w:lvlJc w:val="left"/>
      <w:pPr>
        <w:tabs>
          <w:tab w:val="num" w:pos="1778"/>
        </w:tabs>
        <w:ind w:left="1778" w:hanging="360"/>
      </w:pPr>
      <w:rPr>
        <w:rFonts w:ascii="Symbol" w:hAnsi="Symbol" w:hint="default"/>
        <w:color w:val="333333"/>
        <w:sz w:val="20"/>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start w:val="1"/>
      <w:numFmt w:val="bullet"/>
      <w:lvlText w:val=""/>
      <w:lvlJc w:val="left"/>
      <w:pPr>
        <w:tabs>
          <w:tab w:val="num" w:pos="2160"/>
        </w:tabs>
        <w:ind w:left="2160" w:hanging="360"/>
      </w:pPr>
      <w:rPr>
        <w:rFonts w:ascii="Symbol" w:hAnsi="Symbol" w:hint="default"/>
        <w:color w:val="auto"/>
        <w:sz w:val="20"/>
      </w:rPr>
    </w:lvl>
    <w:lvl w:ilvl="3" w:tplc="040C0001">
      <w:numFmt w:val="bullet"/>
      <w:lvlText w:val="-"/>
      <w:lvlJc w:val="left"/>
      <w:pPr>
        <w:tabs>
          <w:tab w:val="num" w:pos="3070"/>
        </w:tabs>
        <w:ind w:left="3070" w:hanging="550"/>
      </w:pPr>
      <w:rPr>
        <w:rFonts w:ascii="Times New Roman" w:hAnsi="Times New Roman" w:cs="Times New Roman" w:hint="default"/>
        <w:color w:val="666699"/>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6C89054D"/>
    <w:multiLevelType w:val="hybridMultilevel"/>
    <w:tmpl w:val="67909868"/>
    <w:lvl w:ilvl="0" w:tplc="C88AE42C">
      <w:start w:val="1"/>
      <w:numFmt w:val="bullet"/>
      <w:pStyle w:val="Retrait1"/>
      <w:lvlText w:val=""/>
      <w:lvlJc w:val="left"/>
      <w:pPr>
        <w:tabs>
          <w:tab w:val="num" w:pos="927"/>
        </w:tabs>
        <w:ind w:left="907" w:hanging="340"/>
      </w:pPr>
      <w:rPr>
        <w:rFonts w:ascii="Symbol" w:hAnsi="Symbol" w:hint="default"/>
        <w:b w:val="0"/>
        <w:i w:val="0"/>
        <w:color w:val="7AC043"/>
        <w:sz w:val="28"/>
        <w:u w:val="none"/>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73141409"/>
    <w:multiLevelType w:val="hybridMultilevel"/>
    <w:tmpl w:val="5F4427DA"/>
    <w:lvl w:ilvl="0" w:tplc="0B729786">
      <w:start w:val="20"/>
      <w:numFmt w:val="bullet"/>
      <w:lvlText w:val="-"/>
      <w:lvlJc w:val="left"/>
      <w:pPr>
        <w:ind w:left="720" w:hanging="360"/>
      </w:pPr>
      <w:rPr>
        <w:rFonts w:ascii="Arial Narrow" w:eastAsia="Times New Roman" w:hAnsi="Arial Narrow"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78413555"/>
    <w:multiLevelType w:val="hybridMultilevel"/>
    <w:tmpl w:val="77EC132A"/>
    <w:lvl w:ilvl="0" w:tplc="040C0001">
      <w:start w:val="1"/>
      <w:numFmt w:val="bullet"/>
      <w:lvlText w:val=""/>
      <w:lvlJc w:val="left"/>
      <w:pPr>
        <w:tabs>
          <w:tab w:val="num" w:pos="700"/>
        </w:tabs>
        <w:ind w:left="680" w:hanging="340"/>
      </w:pPr>
      <w:rPr>
        <w:rFonts w:ascii="Symbol" w:hAnsi="Symbol" w:hint="default"/>
        <w:b w:val="0"/>
        <w:i w:val="0"/>
        <w:color w:val="333333"/>
        <w:sz w:val="20"/>
        <w:u w:val="none"/>
      </w:rPr>
    </w:lvl>
    <w:lvl w:ilvl="1" w:tplc="040C0003" w:tentative="1">
      <w:start w:val="1"/>
      <w:numFmt w:val="bullet"/>
      <w:lvlText w:val="o"/>
      <w:lvlJc w:val="left"/>
      <w:pPr>
        <w:tabs>
          <w:tab w:val="num" w:pos="816"/>
        </w:tabs>
        <w:ind w:left="816" w:hanging="360"/>
      </w:pPr>
      <w:rPr>
        <w:rFonts w:ascii="Courier New" w:hAnsi="Courier New" w:hint="default"/>
      </w:rPr>
    </w:lvl>
    <w:lvl w:ilvl="2" w:tplc="040C0005" w:tentative="1">
      <w:start w:val="1"/>
      <w:numFmt w:val="bullet"/>
      <w:lvlText w:val=""/>
      <w:lvlJc w:val="left"/>
      <w:pPr>
        <w:tabs>
          <w:tab w:val="num" w:pos="1536"/>
        </w:tabs>
        <w:ind w:left="1536" w:hanging="360"/>
      </w:pPr>
      <w:rPr>
        <w:rFonts w:ascii="Wingdings" w:hAnsi="Wingdings" w:hint="default"/>
      </w:rPr>
    </w:lvl>
    <w:lvl w:ilvl="3" w:tplc="040C0001" w:tentative="1">
      <w:start w:val="1"/>
      <w:numFmt w:val="bullet"/>
      <w:lvlText w:val=""/>
      <w:lvlJc w:val="left"/>
      <w:pPr>
        <w:tabs>
          <w:tab w:val="num" w:pos="2256"/>
        </w:tabs>
        <w:ind w:left="2256" w:hanging="360"/>
      </w:pPr>
      <w:rPr>
        <w:rFonts w:ascii="Symbol" w:hAnsi="Symbol" w:hint="default"/>
      </w:rPr>
    </w:lvl>
    <w:lvl w:ilvl="4" w:tplc="040C0003" w:tentative="1">
      <w:start w:val="1"/>
      <w:numFmt w:val="bullet"/>
      <w:lvlText w:val="o"/>
      <w:lvlJc w:val="left"/>
      <w:pPr>
        <w:tabs>
          <w:tab w:val="num" w:pos="2976"/>
        </w:tabs>
        <w:ind w:left="2976" w:hanging="360"/>
      </w:pPr>
      <w:rPr>
        <w:rFonts w:ascii="Courier New" w:hAnsi="Courier New" w:hint="default"/>
      </w:rPr>
    </w:lvl>
    <w:lvl w:ilvl="5" w:tplc="040C0005" w:tentative="1">
      <w:start w:val="1"/>
      <w:numFmt w:val="bullet"/>
      <w:lvlText w:val=""/>
      <w:lvlJc w:val="left"/>
      <w:pPr>
        <w:tabs>
          <w:tab w:val="num" w:pos="3696"/>
        </w:tabs>
        <w:ind w:left="3696" w:hanging="360"/>
      </w:pPr>
      <w:rPr>
        <w:rFonts w:ascii="Wingdings" w:hAnsi="Wingdings" w:hint="default"/>
      </w:rPr>
    </w:lvl>
    <w:lvl w:ilvl="6" w:tplc="040C0001" w:tentative="1">
      <w:start w:val="1"/>
      <w:numFmt w:val="bullet"/>
      <w:lvlText w:val=""/>
      <w:lvlJc w:val="left"/>
      <w:pPr>
        <w:tabs>
          <w:tab w:val="num" w:pos="4416"/>
        </w:tabs>
        <w:ind w:left="4416" w:hanging="360"/>
      </w:pPr>
      <w:rPr>
        <w:rFonts w:ascii="Symbol" w:hAnsi="Symbol" w:hint="default"/>
      </w:rPr>
    </w:lvl>
    <w:lvl w:ilvl="7" w:tplc="040C0003" w:tentative="1">
      <w:start w:val="1"/>
      <w:numFmt w:val="bullet"/>
      <w:lvlText w:val="o"/>
      <w:lvlJc w:val="left"/>
      <w:pPr>
        <w:tabs>
          <w:tab w:val="num" w:pos="5136"/>
        </w:tabs>
        <w:ind w:left="5136" w:hanging="360"/>
      </w:pPr>
      <w:rPr>
        <w:rFonts w:ascii="Courier New" w:hAnsi="Courier New" w:hint="default"/>
      </w:rPr>
    </w:lvl>
    <w:lvl w:ilvl="8" w:tplc="040C0005" w:tentative="1">
      <w:start w:val="1"/>
      <w:numFmt w:val="bullet"/>
      <w:lvlText w:val=""/>
      <w:lvlJc w:val="left"/>
      <w:pPr>
        <w:tabs>
          <w:tab w:val="num" w:pos="5856"/>
        </w:tabs>
        <w:ind w:left="5856" w:hanging="360"/>
      </w:pPr>
      <w:rPr>
        <w:rFonts w:ascii="Wingdings" w:hAnsi="Wingdings" w:hint="default"/>
      </w:rPr>
    </w:lvl>
  </w:abstractNum>
  <w:num w:numId="1">
    <w:abstractNumId w:val="0"/>
    <w:lvlOverride w:ilvl="0">
      <w:lvl w:ilvl="0">
        <w:start w:val="1"/>
        <w:numFmt w:val="bullet"/>
        <w:pStyle w:val="Anomalies"/>
        <w:lvlText w:val=""/>
        <w:legacy w:legacy="1" w:legacySpace="0" w:legacyIndent="567"/>
        <w:lvlJc w:val="left"/>
        <w:pPr>
          <w:ind w:left="1418" w:hanging="567"/>
        </w:pPr>
        <w:rPr>
          <w:rFonts w:ascii="Wingdings" w:hAnsi="Wingdings" w:hint="default"/>
          <w:sz w:val="36"/>
        </w:rPr>
      </w:lvl>
    </w:lvlOverride>
  </w:num>
  <w:num w:numId="2">
    <w:abstractNumId w:val="17"/>
  </w:num>
  <w:num w:numId="3">
    <w:abstractNumId w:val="12"/>
  </w:num>
  <w:num w:numId="4">
    <w:abstractNumId w:val="16"/>
  </w:num>
  <w:num w:numId="5">
    <w:abstractNumId w:val="7"/>
  </w:num>
  <w:num w:numId="6">
    <w:abstractNumId w:val="9"/>
  </w:num>
  <w:num w:numId="7">
    <w:abstractNumId w:val="13"/>
  </w:num>
  <w:num w:numId="8">
    <w:abstractNumId w:val="8"/>
  </w:num>
  <w:num w:numId="9">
    <w:abstractNumId w:val="10"/>
  </w:num>
  <w:num w:numId="10">
    <w:abstractNumId w:val="6"/>
  </w:num>
  <w:num w:numId="11">
    <w:abstractNumId w:val="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4"/>
  </w:num>
  <w:num w:numId="13">
    <w:abstractNumId w:val="19"/>
  </w:num>
  <w:num w:numId="14">
    <w:abstractNumId w:val="2"/>
  </w:num>
  <w:num w:numId="15">
    <w:abstractNumId w:val="3"/>
  </w:num>
  <w:num w:numId="16">
    <w:abstractNumId w:val="12"/>
  </w:num>
  <w:num w:numId="17">
    <w:abstractNumId w:val="17"/>
  </w:num>
  <w:num w:numId="18">
    <w:abstractNumId w:val="17"/>
  </w:num>
  <w:num w:numId="19">
    <w:abstractNumId w:val="17"/>
  </w:num>
  <w:num w:numId="20">
    <w:abstractNumId w:val="17"/>
  </w:num>
  <w:num w:numId="21">
    <w:abstractNumId w:val="14"/>
  </w:num>
  <w:num w:numId="22">
    <w:abstractNumId w:val="12"/>
  </w:num>
  <w:num w:numId="23">
    <w:abstractNumId w:val="12"/>
  </w:num>
  <w:num w:numId="24">
    <w:abstractNumId w:val="18"/>
  </w:num>
  <w:num w:numId="25">
    <w:abstractNumId w:val="12"/>
  </w:num>
  <w:num w:numId="26">
    <w:abstractNumId w:val="17"/>
  </w:num>
  <w:num w:numId="27">
    <w:abstractNumId w:val="17"/>
  </w:num>
  <w:num w:numId="28">
    <w:abstractNumId w:val="17"/>
  </w:num>
  <w:num w:numId="29">
    <w:abstractNumId w:val="17"/>
  </w:num>
  <w:num w:numId="30">
    <w:abstractNumId w:val="17"/>
  </w:num>
  <w:num w:numId="31">
    <w:abstractNumId w:val="12"/>
  </w:num>
  <w:num w:numId="32">
    <w:abstractNumId w:val="17"/>
  </w:num>
  <w:num w:numId="33">
    <w:abstractNumId w:val="12"/>
  </w:num>
  <w:num w:numId="34">
    <w:abstractNumId w:val="12"/>
  </w:num>
  <w:num w:numId="35">
    <w:abstractNumId w:val="12"/>
  </w:num>
  <w:num w:numId="36">
    <w:abstractNumId w:val="17"/>
  </w:num>
  <w:num w:numId="37">
    <w:abstractNumId w:val="17"/>
  </w:num>
  <w:num w:numId="38">
    <w:abstractNumId w:val="12"/>
  </w:num>
  <w:num w:numId="39">
    <w:abstractNumId w:val="15"/>
  </w:num>
  <w:num w:numId="40">
    <w:abstractNumId w:val="5"/>
  </w:num>
  <w:num w:numId="41">
    <w:abstractNumId w:val="11"/>
  </w:num>
  <w:num w:numId="42">
    <w:abstractNumId w:val="7"/>
  </w:num>
  <w:num w:numId="43">
    <w:abstractNumId w:val="7"/>
  </w:num>
  <w:num w:numId="44">
    <w:abstractNumId w:val="7"/>
  </w:num>
  <w:num w:numId="45">
    <w:abstractNumId w:val="7"/>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9"/>
  <w:hyphenationZone w:val="425"/>
  <w:drawingGridHorizontalSpacing w:val="100"/>
  <w:drawingGridVerticalSpacing w:val="0"/>
  <w:displayHorizontalDrawingGridEvery w:val="0"/>
  <w:displayVerticalDrawingGridEvery w:val="0"/>
  <w:noPunctuationKerning/>
  <w:characterSpacingControl w:val="doNotCompress"/>
  <w:strictFirstAndLastChars/>
  <w:hdrShapeDefaults>
    <o:shapedefaults v:ext="edit" spidmax="40961">
      <o:colormru v:ext="edit" colors="lime,#6ff,#090,aqua,blue,white,#f39,#c11407"/>
    </o:shapedefaults>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40961">
      <o:colormru v:ext="edit" colors="lime,#6ff,#090,aqua,blue,white,#f39,#c11407"/>
    </o:shapedefaults>
    <o:shapelayout v:ext="edit">
      <o:idmap v:ext="edit" data="1"/>
    </o:shapelayout>
  </w:shapeDefaults>
  <w:decimalSymbol w:val=","/>
  <w:listSeparator w:val=";"/>
  <w15:docId w15:val="{0C54A799-D935-4EAE-83EB-87B81EF209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qFormat="1"/>
    <w:lsdException w:name="header" w:semiHidden="1" w:uiPriority="0" w:unhideWhenUsed="1" w:qFormat="1"/>
    <w:lsdException w:name="footer" w:semiHidden="1" w:uiPriority="0"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qFormat="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qFormat="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before="120"/>
      <w:jc w:val="both"/>
    </w:pPr>
    <w:rPr>
      <w:rFonts w:ascii="Arial Narrow" w:hAnsi="Arial Narrow"/>
    </w:rPr>
  </w:style>
  <w:style w:type="paragraph" w:styleId="Titre1">
    <w:name w:val="heading 1"/>
    <w:aliases w:val="Titre 1-1,Fiche technique,Chapitre,CHAPITRE,ARTICLE,charte T1,charte T 1,Titre 1 / I,jyf1,Titre 1ceafi,Titre 1 bis,bobT1,TITRE 1 + Droite :  8,5 cm,Avant : 25 pt,Après : 12 pt,Haut: (Simp...,Chapitre1,Chapitre2,Chapitre3,Chapitre4,Chapitre5"/>
    <w:basedOn w:val="Normal"/>
    <w:next w:val="Normal"/>
    <w:link w:val="Titre1Car"/>
    <w:qFormat/>
    <w:pPr>
      <w:keepNext/>
      <w:numPr>
        <w:numId w:val="5"/>
      </w:numPr>
      <w:pBdr>
        <w:bottom w:val="single" w:sz="12" w:space="4" w:color="7AC043"/>
      </w:pBdr>
      <w:spacing w:before="4000" w:after="240"/>
      <w:jc w:val="left"/>
      <w:outlineLvl w:val="0"/>
    </w:pPr>
    <w:rPr>
      <w:b/>
      <w:smallCaps/>
      <w:color w:val="333333"/>
      <w:kern w:val="28"/>
      <w:sz w:val="48"/>
    </w:rPr>
  </w:style>
  <w:style w:type="paragraph" w:styleId="Titre2">
    <w:name w:val="heading 2"/>
    <w:aliases w:val="Titre 2-1,sous-chapitre,new,titre 2,charte T2,Titre 2 / 1.,Titre 2ceafi,Sous-Titre,/titres paragraphes,Chpt,Tend_Überschrift 2,Arial 12 Fett Kursiv,ASAPHeading 2,Chapter Title,R&amp;S - Titre 2,tt,Fonctionnalité,Titre 21,t2.T2,Table2,H2,Heading 2,h2"/>
    <w:basedOn w:val="Normal"/>
    <w:next w:val="Normal"/>
    <w:link w:val="Titre2Car"/>
    <w:qFormat/>
    <w:pPr>
      <w:numPr>
        <w:ilvl w:val="1"/>
        <w:numId w:val="5"/>
      </w:numPr>
      <w:spacing w:before="240" w:after="80"/>
      <w:jc w:val="left"/>
      <w:outlineLvl w:val="1"/>
    </w:pPr>
    <w:rPr>
      <w:b/>
      <w:color w:val="333333"/>
      <w:sz w:val="32"/>
    </w:rPr>
  </w:style>
  <w:style w:type="paragraph" w:styleId="Titre3">
    <w:name w:val="heading 3"/>
    <w:aliases w:val="Titre 3ceafi,T3,InterTitre,Section,Sec,Centered,Section + Gauche,6 cm,Avant : 24 pt + Gau...,Gauche :  0 cm,Suspendu : 1,Arial 12 Fett,ASAPHeading 3,hd3,h3,R&amp;S - Titre 3,Titre 3 SQ,Titre 3 DD,Contrat 3,l3,CT,3,Titre 31,t3.T3,Heading3_Titre3,ttt"/>
    <w:basedOn w:val="Normal"/>
    <w:next w:val="Normal"/>
    <w:link w:val="Titre3Car"/>
    <w:qFormat/>
    <w:pPr>
      <w:numPr>
        <w:ilvl w:val="2"/>
        <w:numId w:val="5"/>
      </w:numPr>
      <w:spacing w:before="160" w:after="40"/>
      <w:jc w:val="left"/>
      <w:outlineLvl w:val="2"/>
    </w:pPr>
    <w:rPr>
      <w:b/>
      <w:iCs/>
      <w:color w:val="333333"/>
      <w:sz w:val="28"/>
    </w:rPr>
  </w:style>
  <w:style w:type="paragraph" w:styleId="Titre4">
    <w:name w:val="heading 4"/>
    <w:aliases w:val="Sous-Section,Sous-Sectipson,MainPara,Centred,Cen.,T4,Sous-Sectipson + Gauche :  0 cm,Premiè...,Première ligne : 0 cm...,Première ligne : 0 cm,Paragraphe,ASAPHeading 4,hd4,R&amp;S - Titre 4,h4,Contrat 4,l4,I4,Titre 41,t4.T4,Heading4_Titre4,H41,H42,H4"/>
    <w:basedOn w:val="Normal"/>
    <w:next w:val="Normal"/>
    <w:link w:val="Titre4Car"/>
    <w:qFormat/>
    <w:pPr>
      <w:keepNext/>
      <w:numPr>
        <w:ilvl w:val="3"/>
        <w:numId w:val="5"/>
      </w:numPr>
      <w:spacing w:before="160"/>
      <w:jc w:val="left"/>
      <w:outlineLvl w:val="3"/>
    </w:pPr>
    <w:rPr>
      <w:b/>
      <w:color w:val="333333"/>
      <w:spacing w:val="20"/>
      <w:sz w:val="24"/>
    </w:rPr>
  </w:style>
  <w:style w:type="paragraph" w:styleId="Titre5">
    <w:name w:val="heading 5"/>
    <w:aliases w:val="Titre 1b,Side,Article,Roman list,Lev 5,5 sub-bullet,sb,H5,Titre 1.1111,Aston T5,(Shift Ctrl 5),DO NOT USE_h5,h5,Block Label,T5,heading 5,a),NCS-H5,Level 3 - i,Chapitre 1.1.1.1.,niveau 5,Sous-chapitre (niveau 4),Org Heading 3,Titre51,t5,H51"/>
    <w:basedOn w:val="Normal"/>
    <w:next w:val="Normal"/>
    <w:link w:val="Titre5Car"/>
    <w:qFormat/>
    <w:pPr>
      <w:numPr>
        <w:ilvl w:val="4"/>
        <w:numId w:val="5"/>
      </w:numPr>
      <w:spacing w:before="160"/>
      <w:outlineLvl w:val="4"/>
    </w:pPr>
    <w:rPr>
      <w:b/>
      <w:color w:val="333333"/>
      <w:sz w:val="22"/>
    </w:rPr>
  </w:style>
  <w:style w:type="paragraph" w:styleId="Titre6">
    <w:name w:val="heading 6"/>
    <w:aliases w:val="Alinéa,Bullet list,Lev 6,sub-dash,sd,5,H6,Annexe1,Aston T6,(Shift Ctrl 6),DO NOT USE_h6,Niveau 6,Niveau6,Legal Level 1.,6,Appendix,Annexe,h6,appendix flysheet,Renvoi Noir,Ref Heading 3,rh3,Ref Heading 31,rh31,H61,Third Subheading,Edf Titre 6,T6"/>
    <w:basedOn w:val="Normal"/>
    <w:next w:val="Normal"/>
    <w:link w:val="Titre6Car"/>
    <w:qFormat/>
    <w:pPr>
      <w:numPr>
        <w:ilvl w:val="5"/>
        <w:numId w:val="5"/>
      </w:numPr>
      <w:spacing w:before="160"/>
      <w:outlineLvl w:val="5"/>
    </w:pPr>
    <w:rPr>
      <w:b/>
      <w:color w:val="333333"/>
    </w:rPr>
  </w:style>
  <w:style w:type="paragraph" w:styleId="Titre7">
    <w:name w:val="heading 7"/>
    <w:aliases w:val="letter list,lettered list,Lev 7,H7,Annexe2,Aston T7,(Shift Ctrl 7),T7,1.2.3.4.5.6.7.,Legal Level 1.1.,L7,Annexe 1,figure caption,Renvoi Bleu,Edf Titre 7,Heading 7 CFMU,Chapitre niveau 7,nul,h7,Heading 7,heading 7,Do Not Use3,7,ASAPHeading 7,req3"/>
    <w:basedOn w:val="Normal"/>
    <w:next w:val="Normal"/>
    <w:link w:val="Titre7Car"/>
    <w:qFormat/>
    <w:pPr>
      <w:numPr>
        <w:ilvl w:val="6"/>
        <w:numId w:val="5"/>
      </w:numPr>
      <w:outlineLvl w:val="6"/>
    </w:pPr>
    <w:rPr>
      <w:b/>
      <w:color w:val="000000"/>
    </w:rPr>
  </w:style>
  <w:style w:type="paragraph" w:styleId="Titre8">
    <w:name w:val="heading 8"/>
    <w:aliases w:val="Lev 8,Center Bold,action,Annexe3,Aston Légende,t,Text, action,T8,text,Legal Level 1.1.1.,Annexe 2,table caption,Renvoi Rouge,Edf Titre 8,Heading 8 CFMU,Chapitre niveau 8,h8,Heading 8,heading 8,Do Not Use2,Annexe 31,Annexe 32,Annexe 33,Annexe 34"/>
    <w:basedOn w:val="Normal"/>
    <w:next w:val="Normal"/>
    <w:link w:val="Titre8Car"/>
    <w:qFormat/>
    <w:pPr>
      <w:numPr>
        <w:ilvl w:val="7"/>
        <w:numId w:val="5"/>
      </w:numPr>
      <w:spacing w:before="240" w:after="60"/>
      <w:outlineLvl w:val="7"/>
    </w:pPr>
    <w:rPr>
      <w:i/>
    </w:rPr>
  </w:style>
  <w:style w:type="paragraph" w:styleId="Titre9">
    <w:name w:val="heading 9"/>
    <w:aliases w:val="Heading 9-paranum,Lev 9,progress,Annexe4, progress,App Heading,Legal Level 1.1.1.1.,Annexe 3,Renvoi Vert,Edf Titre 9,Heading 9 CFMU,Chapitre niveau 9,h9,RFP Reference,Heading 9,Do Not Use1,titre l1c1,titre l1c11,titre l1c12,titre l1c13,Annexe 4"/>
    <w:basedOn w:val="Normal"/>
    <w:next w:val="Normal"/>
    <w:link w:val="Titre9Car"/>
    <w:qFormat/>
    <w:pPr>
      <w:numPr>
        <w:ilvl w:val="8"/>
        <w:numId w:val="5"/>
      </w:numPr>
      <w:spacing w:before="240" w:after="60"/>
      <w:outlineLvl w:val="8"/>
    </w:pPr>
    <w:rPr>
      <w:i/>
      <w:sz w:val="1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aliases w:val="Titre 1-1 Car,Fiche technique Car,Chapitre Car,CHAPITRE Car,ARTICLE Car,charte T1 Car,charte T 1 Car,Titre 1 / I Car,jyf1 Car,Titre 1ceafi Car,Titre 1 bis Car,bobT1 Car,TITRE 1 + Droite :  8 Car,5 cm Car,Avant : 25 pt Car,Après : 12 pt Car"/>
    <w:basedOn w:val="Policepardfaut"/>
    <w:link w:val="Titre1"/>
    <w:rPr>
      <w:rFonts w:ascii="Arial Narrow" w:hAnsi="Arial Narrow"/>
      <w:b/>
      <w:smallCaps/>
      <w:color w:val="333333"/>
      <w:kern w:val="28"/>
      <w:sz w:val="48"/>
    </w:rPr>
  </w:style>
  <w:style w:type="character" w:customStyle="1" w:styleId="Titre2Car">
    <w:name w:val="Titre 2 Car"/>
    <w:aliases w:val="Titre 2-1 Car,sous-chapitre Car,new Car,titre 2 Car,charte T2 Car,Titre 2 / 1. Car,Titre 2ceafi Car,Sous-Titre Car,/titres paragraphes Car,Chpt Car,Tend_Überschrift 2 Car,Arial 12 Fett Kursiv Car,ASAPHeading 2 Car,Chapter Title Car,tt Car"/>
    <w:basedOn w:val="Policepardfaut"/>
    <w:link w:val="Titre2"/>
    <w:rPr>
      <w:rFonts w:ascii="Arial Narrow" w:hAnsi="Arial Narrow"/>
      <w:b/>
      <w:color w:val="333333"/>
      <w:sz w:val="32"/>
    </w:rPr>
  </w:style>
  <w:style w:type="character" w:customStyle="1" w:styleId="Titre3Car">
    <w:name w:val="Titre 3 Car"/>
    <w:aliases w:val="Titre 3ceafi Car,T3 Car,InterTitre Car,Section Car,Sec Car,Centered Car,Section + Gauche Car,6 cm Car,Avant : 24 pt + Gau... Car,Gauche :  0 cm Car,Suspendu : 1 Car,Arial 12 Fett Car,ASAPHeading 3 Car,hd3 Car,h3 Car,R&amp;S - Titre 3 Car,l3 Car"/>
    <w:basedOn w:val="Policepardfaut"/>
    <w:link w:val="Titre3"/>
    <w:rPr>
      <w:rFonts w:ascii="Arial Narrow" w:hAnsi="Arial Narrow"/>
      <w:b/>
      <w:iCs/>
      <w:color w:val="333333"/>
      <w:sz w:val="28"/>
    </w:rPr>
  </w:style>
  <w:style w:type="character" w:customStyle="1" w:styleId="Titre4Car">
    <w:name w:val="Titre 4 Car"/>
    <w:aliases w:val="Sous-Section Car,Sous-Sectipson Car,MainPara Car,Centred Car,Cen. Car,T4 Car,Sous-Sectipson + Gauche :  0 cm Car,Premiè... Car,Première ligne : 0 cm... Car,Première ligne : 0 cm Car,Paragraphe Car,ASAPHeading 4 Car,hd4 Car,R&amp;S - Titre 4 Car"/>
    <w:basedOn w:val="Policepardfaut"/>
    <w:link w:val="Titre4"/>
    <w:rPr>
      <w:rFonts w:ascii="Arial Narrow" w:hAnsi="Arial Narrow"/>
      <w:b/>
      <w:color w:val="333333"/>
      <w:spacing w:val="20"/>
      <w:sz w:val="24"/>
    </w:rPr>
  </w:style>
  <w:style w:type="character" w:customStyle="1" w:styleId="Titre5Car">
    <w:name w:val="Titre 5 Car"/>
    <w:aliases w:val="Titre 1b Car,Side Car,Article Car,Roman list Car,Lev 5 Car,5 sub-bullet Car,sb Car,H5 Car,Titre 1.1111 Car,Aston T5 Car,(Shift Ctrl 5) Car,DO NOT USE_h5 Car,h5 Car,Block Label Car,T5 Car,heading 5 Car,a) Car,NCS-H5 Car,Level 3 - i Car,t5 Car"/>
    <w:basedOn w:val="Policepardfaut"/>
    <w:link w:val="Titre5"/>
    <w:rPr>
      <w:rFonts w:ascii="Arial Narrow" w:hAnsi="Arial Narrow"/>
      <w:b/>
      <w:color w:val="333333"/>
      <w:sz w:val="22"/>
    </w:rPr>
  </w:style>
  <w:style w:type="character" w:customStyle="1" w:styleId="Titre6Car">
    <w:name w:val="Titre 6 Car"/>
    <w:aliases w:val="Alinéa Car,Bullet list Car,Lev 6 Car,sub-dash Car,sd Car,5 Car,H6 Car,Annexe1 Car,Aston T6 Car,(Shift Ctrl 6) Car,DO NOT USE_h6 Car,Niveau 6 Car,Niveau6 Car,Legal Level 1. Car,6 Car,Appendix Car,Annexe Car,h6 Car,appendix flysheet Car,T6 Car"/>
    <w:basedOn w:val="Policepardfaut"/>
    <w:link w:val="Titre6"/>
    <w:rPr>
      <w:rFonts w:ascii="Arial Narrow" w:hAnsi="Arial Narrow"/>
      <w:b/>
      <w:color w:val="333333"/>
    </w:rPr>
  </w:style>
  <w:style w:type="character" w:customStyle="1" w:styleId="Titre7Car">
    <w:name w:val="Titre 7 Car"/>
    <w:aliases w:val="letter list Car,lettered list Car,Lev 7 Car,H7 Car,Annexe2 Car,Aston T7 Car,(Shift Ctrl 7) Car,T7 Car,1.2.3.4.5.6.7. Car,Legal Level 1.1. Car,L7 Car,Annexe 1 Car,figure caption Car,Renvoi Bleu Car,Edf Titre 7 Car,Heading 7 CFMU Car,nul Car"/>
    <w:basedOn w:val="Policepardfaut"/>
    <w:link w:val="Titre7"/>
    <w:rPr>
      <w:rFonts w:ascii="Arial Narrow" w:hAnsi="Arial Narrow"/>
      <w:b/>
      <w:color w:val="000000"/>
    </w:rPr>
  </w:style>
  <w:style w:type="character" w:customStyle="1" w:styleId="Titre8Car">
    <w:name w:val="Titre 8 Car"/>
    <w:aliases w:val="Lev 8 Car,Center Bold Car,action Car,Annexe3 Car,Aston Légende Car,t Car,Text Car, action Car,T8 Car,text Car,Legal Level 1.1.1. Car,Annexe 2 Car,table caption Car,Renvoi Rouge Car,Edf Titre 8 Car,Heading 8 CFMU Car,Chapitre niveau 8 Car"/>
    <w:basedOn w:val="Policepardfaut"/>
    <w:link w:val="Titre8"/>
    <w:rPr>
      <w:rFonts w:ascii="Arial Narrow" w:hAnsi="Arial Narrow"/>
      <w:i/>
    </w:rPr>
  </w:style>
  <w:style w:type="character" w:customStyle="1" w:styleId="Titre9Car">
    <w:name w:val="Titre 9 Car"/>
    <w:aliases w:val="Heading 9-paranum Car,Lev 9 Car,progress Car,Annexe4 Car, progress Car,App Heading Car,Legal Level 1.1.1.1. Car,Annexe 3 Car,Renvoi Vert Car,Edf Titre 9 Car,Heading 9 CFMU Car,Chapitre niveau 9 Car,h9 Car,RFP Reference Car,Heading 9 Car"/>
    <w:basedOn w:val="Policepardfaut"/>
    <w:link w:val="Titre9"/>
    <w:rPr>
      <w:rFonts w:ascii="Arial Narrow" w:hAnsi="Arial Narrow"/>
      <w:i/>
      <w:sz w:val="18"/>
    </w:rPr>
  </w:style>
  <w:style w:type="paragraph" w:styleId="Titre">
    <w:name w:val="Title"/>
    <w:basedOn w:val="Normal"/>
    <w:qFormat/>
    <w:pPr>
      <w:spacing w:before="0"/>
      <w:jc w:val="center"/>
    </w:pPr>
    <w:rPr>
      <w:rFonts w:cs="Arial"/>
      <w:b/>
      <w:bCs/>
      <w:sz w:val="24"/>
      <w:szCs w:val="24"/>
    </w:rPr>
  </w:style>
  <w:style w:type="paragraph" w:styleId="Corpsdetexte">
    <w:name w:val="Body Text"/>
    <w:basedOn w:val="Normal"/>
    <w:link w:val="CorpsdetexteCar"/>
    <w:uiPriority w:val="99"/>
    <w:semiHidden/>
    <w:pPr>
      <w:spacing w:before="0" w:after="120"/>
    </w:pPr>
  </w:style>
  <w:style w:type="paragraph" w:styleId="Liste">
    <w:name w:val="List"/>
    <w:basedOn w:val="Corpsdetexte"/>
    <w:semiHidden/>
    <w:qFormat/>
    <w:rPr>
      <w:rFonts w:cs="Tahoma"/>
    </w:rPr>
  </w:style>
  <w:style w:type="paragraph" w:styleId="Lgende">
    <w:name w:val="caption"/>
    <w:basedOn w:val="Normal"/>
    <w:qFormat/>
    <w:pPr>
      <w:suppressLineNumbers/>
      <w:spacing w:after="120"/>
    </w:pPr>
    <w:rPr>
      <w:rFonts w:cs="Tahoma"/>
      <w:i/>
      <w:iCs/>
      <w:szCs w:val="24"/>
    </w:rPr>
  </w:style>
  <w:style w:type="paragraph" w:customStyle="1" w:styleId="Rpertoire">
    <w:name w:val="Répertoire"/>
    <w:basedOn w:val="Normal"/>
    <w:pPr>
      <w:suppressLineNumbers/>
    </w:pPr>
    <w:rPr>
      <w:rFonts w:cs="Tahoma"/>
    </w:rPr>
  </w:style>
  <w:style w:type="paragraph" w:styleId="En-tte">
    <w:name w:val="header"/>
    <w:basedOn w:val="Normal"/>
    <w:link w:val="En-tteCar"/>
    <w:qFormat/>
    <w:pPr>
      <w:tabs>
        <w:tab w:val="center" w:pos="4536"/>
        <w:tab w:val="right" w:pos="9072"/>
      </w:tabs>
      <w:spacing w:before="0"/>
      <w:jc w:val="left"/>
    </w:pPr>
    <w:rPr>
      <w:sz w:val="16"/>
    </w:rPr>
  </w:style>
  <w:style w:type="character" w:customStyle="1" w:styleId="En-tteCar">
    <w:name w:val="En-tête Car"/>
    <w:link w:val="En-tte"/>
    <w:uiPriority w:val="99"/>
    <w:rPr>
      <w:rFonts w:ascii="Arial Narrow" w:hAnsi="Arial Narrow"/>
      <w:sz w:val="16"/>
    </w:rPr>
  </w:style>
  <w:style w:type="paragraph" w:styleId="Pieddepage">
    <w:name w:val="footer"/>
    <w:basedOn w:val="Normal"/>
    <w:link w:val="PieddepageCar"/>
    <w:pPr>
      <w:tabs>
        <w:tab w:val="center" w:pos="4536"/>
        <w:tab w:val="right" w:pos="9072"/>
      </w:tabs>
      <w:jc w:val="center"/>
    </w:pPr>
    <w:rPr>
      <w:sz w:val="16"/>
    </w:rPr>
  </w:style>
  <w:style w:type="character" w:customStyle="1" w:styleId="PieddepageCar">
    <w:name w:val="Pied de page Car"/>
    <w:link w:val="Pieddepage"/>
    <w:rPr>
      <w:rFonts w:ascii="Arial Narrow" w:hAnsi="Arial Narrow"/>
      <w:sz w:val="16"/>
    </w:rPr>
  </w:style>
  <w:style w:type="paragraph" w:customStyle="1" w:styleId="Nomfichier">
    <w:name w:val="Nom fichier"/>
    <w:basedOn w:val="Normal"/>
    <w:qFormat/>
    <w:pPr>
      <w:spacing w:before="0"/>
      <w:jc w:val="right"/>
    </w:pPr>
    <w:rPr>
      <w:sz w:val="10"/>
    </w:rPr>
  </w:style>
  <w:style w:type="paragraph" w:customStyle="1" w:styleId="Adresse">
    <w:name w:val="Adresse"/>
    <w:basedOn w:val="Normal"/>
    <w:pPr>
      <w:spacing w:before="0"/>
      <w:ind w:left="5103"/>
      <w:jc w:val="left"/>
    </w:pPr>
    <w:rPr>
      <w:b/>
    </w:rPr>
  </w:style>
  <w:style w:type="paragraph" w:customStyle="1" w:styleId="Anomalies">
    <w:name w:val="Anomalies"/>
    <w:basedOn w:val="Normal"/>
    <w:qFormat/>
    <w:pPr>
      <w:numPr>
        <w:numId w:val="1"/>
      </w:numPr>
      <w:spacing w:before="100"/>
    </w:pPr>
    <w:rPr>
      <w:i/>
    </w:rPr>
  </w:style>
  <w:style w:type="paragraph" w:customStyle="1" w:styleId="Anomaliesdangereuses">
    <w:name w:val="Anomalies dangereuses"/>
    <w:basedOn w:val="Anomalies"/>
    <w:pPr>
      <w:numPr>
        <w:numId w:val="0"/>
      </w:numPr>
      <w:ind w:left="1418" w:hanging="567"/>
    </w:pPr>
    <w:rPr>
      <w:b/>
    </w:rPr>
  </w:style>
  <w:style w:type="character" w:styleId="Appeldenotedefin">
    <w:name w:val="endnote reference"/>
    <w:basedOn w:val="Policepardfaut"/>
    <w:semiHidden/>
    <w:rPr>
      <w:rFonts w:ascii="Arial" w:hAnsi="Arial"/>
      <w:i/>
      <w:sz w:val="18"/>
      <w:vertAlign w:val="superscript"/>
    </w:rPr>
  </w:style>
  <w:style w:type="character" w:styleId="Appelnotedebasdep">
    <w:name w:val="footnote reference"/>
    <w:basedOn w:val="Policepardfaut"/>
    <w:rPr>
      <w:rFonts w:ascii="Arial" w:hAnsi="Arial"/>
      <w:i/>
      <w:sz w:val="18"/>
      <w:vertAlign w:val="superscript"/>
    </w:rPr>
  </w:style>
  <w:style w:type="character" w:styleId="CitationHTML">
    <w:name w:val="HTML Cite"/>
    <w:basedOn w:val="Policepardfaut"/>
    <w:semiHidden/>
    <w:rPr>
      <w:rFonts w:ascii="Arial" w:hAnsi="Arial"/>
      <w:iCs/>
      <w:sz w:val="20"/>
    </w:rPr>
  </w:style>
  <w:style w:type="paragraph" w:styleId="Commentaire">
    <w:name w:val="annotation text"/>
    <w:basedOn w:val="Normal"/>
    <w:link w:val="CommentaireCar"/>
    <w:semiHidden/>
    <w:qFormat/>
  </w:style>
  <w:style w:type="character" w:customStyle="1" w:styleId="CommentaireCar">
    <w:name w:val="Commentaire Car"/>
    <w:basedOn w:val="Policepardfaut"/>
    <w:link w:val="Commentaire"/>
    <w:semiHidden/>
    <w:rPr>
      <w:rFonts w:ascii="Arial Narrow" w:hAnsi="Arial Narrow"/>
    </w:rPr>
  </w:style>
  <w:style w:type="paragraph" w:customStyle="1" w:styleId="Corpslettre">
    <w:name w:val="Corps lettre"/>
    <w:basedOn w:val="Normal"/>
    <w:pPr>
      <w:ind w:firstLine="567"/>
    </w:pPr>
  </w:style>
  <w:style w:type="paragraph" w:styleId="Date">
    <w:name w:val="Date"/>
    <w:basedOn w:val="Normal"/>
    <w:next w:val="Adresse"/>
    <w:semiHidden/>
    <w:pPr>
      <w:spacing w:before="0" w:after="360"/>
      <w:ind w:left="5103"/>
      <w:jc w:val="left"/>
    </w:pPr>
  </w:style>
  <w:style w:type="paragraph" w:customStyle="1" w:styleId="Dpart-Suivi">
    <w:name w:val="Départ - Suivi"/>
    <w:basedOn w:val="Normal"/>
    <w:next w:val="Normal"/>
    <w:pPr>
      <w:spacing w:before="40"/>
    </w:pPr>
    <w:rPr>
      <w:i/>
    </w:rPr>
  </w:style>
  <w:style w:type="character" w:styleId="Lienhypertexte">
    <w:name w:val="Hyperlink"/>
    <w:basedOn w:val="Policepardfaut"/>
    <w:uiPriority w:val="99"/>
    <w:rPr>
      <w:rFonts w:ascii="Arial" w:hAnsi="Arial"/>
      <w:color w:val="0000FF"/>
      <w:sz w:val="20"/>
      <w:u w:val="single"/>
    </w:rPr>
  </w:style>
  <w:style w:type="character" w:styleId="Lienhypertextesuivivisit">
    <w:name w:val="FollowedHyperlink"/>
    <w:basedOn w:val="Policepardfaut"/>
    <w:semiHidden/>
    <w:rPr>
      <w:rFonts w:ascii="Arial" w:hAnsi="Arial"/>
      <w:color w:val="800080"/>
      <w:sz w:val="20"/>
      <w:u w:val="single"/>
    </w:rPr>
  </w:style>
  <w:style w:type="character" w:styleId="Marquedecommentaire">
    <w:name w:val="annotation reference"/>
    <w:basedOn w:val="Policepardfaut"/>
    <w:semiHidden/>
    <w:rPr>
      <w:sz w:val="16"/>
    </w:rPr>
  </w:style>
  <w:style w:type="paragraph" w:customStyle="1" w:styleId="NRfrences">
    <w:name w:val="N/Références"/>
    <w:basedOn w:val="Normal"/>
    <w:next w:val="Dpart-Suivi"/>
    <w:pPr>
      <w:spacing w:before="0"/>
    </w:pPr>
    <w:rPr>
      <w:i/>
      <w:sz w:val="18"/>
    </w:rPr>
  </w:style>
  <w:style w:type="paragraph" w:customStyle="1" w:styleId="Retrait1">
    <w:name w:val="Retrait1"/>
    <w:basedOn w:val="Normal"/>
    <w:link w:val="Retrait1Car"/>
    <w:qFormat/>
    <w:pPr>
      <w:numPr>
        <w:numId w:val="2"/>
      </w:numPr>
      <w:tabs>
        <w:tab w:val="left" w:pos="680"/>
      </w:tabs>
    </w:pPr>
    <w:rPr>
      <w:rFonts w:cs="Arial"/>
      <w:b/>
    </w:rPr>
  </w:style>
  <w:style w:type="character" w:customStyle="1" w:styleId="Retrait1Car">
    <w:name w:val="Retrait1 Car"/>
    <w:link w:val="Retrait1"/>
    <w:rPr>
      <w:rFonts w:ascii="Arial Narrow" w:hAnsi="Arial Narrow" w:cs="Arial"/>
      <w:b/>
    </w:rPr>
  </w:style>
  <w:style w:type="paragraph" w:customStyle="1" w:styleId="Nominterlocuteur">
    <w:name w:val="Nom interlocuteur"/>
    <w:basedOn w:val="Retrait1"/>
    <w:pPr>
      <w:numPr>
        <w:numId w:val="0"/>
      </w:numPr>
    </w:pPr>
    <w:rPr>
      <w:smallCaps/>
    </w:rPr>
  </w:style>
  <w:style w:type="paragraph" w:styleId="NormalWeb">
    <w:name w:val="Normal (Web)"/>
    <w:basedOn w:val="Normal"/>
    <w:qFormat/>
    <w:pPr>
      <w:spacing w:before="100" w:beforeAutospacing="1" w:after="119"/>
      <w:jc w:val="left"/>
    </w:pPr>
    <w:rPr>
      <w:rFonts w:ascii="Arial Unicode MS" w:eastAsia="Arial Unicode MS" w:hAnsi="Arial Unicode MS" w:cs="Arial Unicode MS"/>
      <w:sz w:val="24"/>
      <w:szCs w:val="24"/>
    </w:rPr>
  </w:style>
  <w:style w:type="character" w:styleId="Numrodepage">
    <w:name w:val="page number"/>
    <w:basedOn w:val="Policepardfaut"/>
    <w:semiHidden/>
    <w:rPr>
      <w:rFonts w:ascii="Arial" w:hAnsi="Arial"/>
      <w:sz w:val="16"/>
    </w:rPr>
  </w:style>
  <w:style w:type="paragraph" w:customStyle="1" w:styleId="Objet">
    <w:name w:val="Objet"/>
    <w:basedOn w:val="Normal"/>
    <w:next w:val="Normal"/>
    <w:pPr>
      <w:spacing w:before="40"/>
    </w:pPr>
    <w:rPr>
      <w:b/>
    </w:rPr>
  </w:style>
  <w:style w:type="paragraph" w:customStyle="1" w:styleId="PiedSige">
    <w:name w:val="Pied Siège"/>
    <w:basedOn w:val="Pieddepage"/>
    <w:rPr>
      <w:b/>
      <w:sz w:val="12"/>
    </w:rPr>
  </w:style>
  <w:style w:type="paragraph" w:customStyle="1" w:styleId="Prescriptions">
    <w:name w:val="Prescriptions"/>
    <w:basedOn w:val="Normal"/>
    <w:pPr>
      <w:spacing w:before="100"/>
      <w:ind w:left="1418" w:hanging="567"/>
    </w:pPr>
    <w:rPr>
      <w:rFonts w:cs="Arial"/>
      <w:i/>
    </w:rPr>
  </w:style>
  <w:style w:type="paragraph" w:customStyle="1" w:styleId="Titrecouverture1">
    <w:name w:val="Titre couverture 1"/>
    <w:basedOn w:val="Titrecouverture"/>
    <w:rPr>
      <w:sz w:val="28"/>
    </w:rPr>
  </w:style>
  <w:style w:type="paragraph" w:customStyle="1" w:styleId="Titrecouverture">
    <w:name w:val="Titre couverture"/>
    <w:basedOn w:val="Normal"/>
    <w:next w:val="Normal"/>
    <w:pPr>
      <w:shd w:val="clear" w:color="auto" w:fill="7AC043"/>
      <w:spacing w:before="0"/>
      <w:jc w:val="center"/>
    </w:pPr>
    <w:rPr>
      <w:rFonts w:ascii="Century Gothic" w:hAnsi="Century Gothic"/>
      <w:b/>
      <w:smallCaps/>
      <w:color w:val="FFFFFF"/>
      <w:kern w:val="28"/>
      <w:sz w:val="52"/>
    </w:rPr>
  </w:style>
  <w:style w:type="paragraph" w:customStyle="1" w:styleId="Retrait20">
    <w:name w:val="Retrait2"/>
    <w:basedOn w:val="Normal"/>
    <w:link w:val="Retrait2Car"/>
    <w:qFormat/>
    <w:pPr>
      <w:numPr>
        <w:numId w:val="3"/>
      </w:numPr>
      <w:tabs>
        <w:tab w:val="left" w:pos="964"/>
      </w:tabs>
      <w:spacing w:before="80"/>
    </w:pPr>
    <w:rPr>
      <w:rFonts w:cs="Arial"/>
    </w:rPr>
  </w:style>
  <w:style w:type="character" w:customStyle="1" w:styleId="Retrait2Car">
    <w:name w:val="Retrait2 Car"/>
    <w:link w:val="Retrait20"/>
    <w:rPr>
      <w:rFonts w:ascii="Arial Narrow" w:hAnsi="Arial Narrow" w:cs="Arial"/>
    </w:rPr>
  </w:style>
  <w:style w:type="paragraph" w:customStyle="1" w:styleId="Retrait3">
    <w:name w:val="Retrait3"/>
    <w:basedOn w:val="Normal"/>
    <w:qFormat/>
    <w:pPr>
      <w:numPr>
        <w:numId w:val="4"/>
      </w:numPr>
      <w:tabs>
        <w:tab w:val="left" w:pos="964"/>
      </w:tabs>
      <w:spacing w:before="40"/>
    </w:pPr>
    <w:rPr>
      <w:rFonts w:cs="Arial"/>
    </w:rPr>
  </w:style>
  <w:style w:type="paragraph" w:customStyle="1" w:styleId="Signataire">
    <w:name w:val="Signataire"/>
    <w:basedOn w:val="Normal"/>
    <w:next w:val="Normal"/>
    <w:pPr>
      <w:ind w:left="5103"/>
      <w:jc w:val="left"/>
    </w:pPr>
  </w:style>
  <w:style w:type="paragraph" w:customStyle="1" w:styleId="Soustitredecouverture">
    <w:name w:val="Sous titre de couverture"/>
    <w:basedOn w:val="Normal"/>
    <w:pPr>
      <w:framePr w:w="7088" w:h="4536" w:hSpace="142" w:wrap="notBeside" w:vAnchor="page" w:hAnchor="page" w:x="2439" w:y="8506"/>
      <w:pBdr>
        <w:bottom w:val="single" w:sz="4" w:space="24" w:color="0079C2"/>
      </w:pBdr>
      <w:spacing w:before="0"/>
      <w:ind w:left="567" w:right="567"/>
      <w:jc w:val="center"/>
    </w:pPr>
    <w:rPr>
      <w:b/>
      <w:smallCaps/>
      <w:color w:val="4D4D4D"/>
      <w:sz w:val="32"/>
    </w:rPr>
  </w:style>
  <w:style w:type="paragraph" w:customStyle="1" w:styleId="Standard">
    <w:name w:val="Standard"/>
    <w:pPr>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autoSpaceDE w:val="0"/>
      <w:autoSpaceDN w:val="0"/>
      <w:adjustRightInd w:val="0"/>
      <w:spacing w:before="120"/>
    </w:pPr>
    <w:rPr>
      <w:rFonts w:ascii="Arial" w:hAnsi="Arial" w:cs="Arial"/>
      <w:color w:val="000000"/>
      <w:szCs w:val="48"/>
    </w:rPr>
  </w:style>
  <w:style w:type="paragraph" w:customStyle="1" w:styleId="Sous-titregris">
    <w:name w:val="Sous-titre gris"/>
    <w:basedOn w:val="Normal"/>
    <w:qFormat/>
    <w:pPr>
      <w:spacing w:before="200" w:after="40"/>
    </w:pPr>
    <w:rPr>
      <w:color w:val="333333"/>
      <w:sz w:val="24"/>
    </w:rPr>
  </w:style>
  <w:style w:type="paragraph" w:customStyle="1" w:styleId="Titredocument">
    <w:name w:val="Titre document"/>
    <w:basedOn w:val="Normal"/>
    <w:pPr>
      <w:jc w:val="center"/>
    </w:pPr>
    <w:rPr>
      <w:rFonts w:ascii="Century Gothic" w:hAnsi="Century Gothic"/>
      <w:b/>
      <w:bCs/>
      <w:smallCaps/>
      <w:color w:val="0000CC"/>
      <w:sz w:val="32"/>
    </w:rPr>
  </w:style>
  <w:style w:type="paragraph" w:styleId="TM1">
    <w:name w:val="toc 1"/>
    <w:basedOn w:val="Normal"/>
    <w:next w:val="Normal"/>
    <w:autoRedefine/>
    <w:uiPriority w:val="39"/>
    <w:pPr>
      <w:spacing w:before="240"/>
    </w:pPr>
    <w:rPr>
      <w:b/>
      <w:caps/>
      <w:noProof/>
    </w:rPr>
  </w:style>
  <w:style w:type="paragraph" w:styleId="TM2">
    <w:name w:val="toc 2"/>
    <w:basedOn w:val="Normal"/>
    <w:next w:val="Normal"/>
    <w:autoRedefine/>
    <w:uiPriority w:val="39"/>
    <w:rPr>
      <w:b/>
      <w:noProof/>
    </w:rPr>
  </w:style>
  <w:style w:type="paragraph" w:styleId="TM3">
    <w:name w:val="toc 3"/>
    <w:basedOn w:val="Normal"/>
    <w:next w:val="Normal"/>
    <w:autoRedefine/>
    <w:uiPriority w:val="39"/>
    <w:pPr>
      <w:ind w:left="440"/>
    </w:pPr>
    <w:rPr>
      <w:szCs w:val="24"/>
    </w:rPr>
  </w:style>
  <w:style w:type="paragraph" w:styleId="TM4">
    <w:name w:val="toc 4"/>
    <w:basedOn w:val="Normal"/>
    <w:next w:val="Normal"/>
    <w:autoRedefine/>
    <w:semiHidden/>
    <w:pPr>
      <w:ind w:left="540"/>
    </w:pPr>
    <w:rPr>
      <w:szCs w:val="24"/>
    </w:rPr>
  </w:style>
  <w:style w:type="paragraph" w:styleId="TM5">
    <w:name w:val="toc 5"/>
    <w:basedOn w:val="Normal"/>
    <w:next w:val="Normal"/>
    <w:autoRedefine/>
    <w:semiHidden/>
    <w:pPr>
      <w:spacing w:before="0"/>
      <w:ind w:left="960"/>
      <w:jc w:val="left"/>
    </w:pPr>
    <w:rPr>
      <w:rFonts w:ascii="Times New Roman" w:hAnsi="Times New Roman"/>
      <w:sz w:val="24"/>
      <w:szCs w:val="24"/>
    </w:rPr>
  </w:style>
  <w:style w:type="paragraph" w:styleId="TM6">
    <w:name w:val="toc 6"/>
    <w:basedOn w:val="Normal"/>
    <w:next w:val="Normal"/>
    <w:autoRedefine/>
    <w:semiHidden/>
    <w:pPr>
      <w:spacing w:before="0"/>
      <w:ind w:left="1200"/>
      <w:jc w:val="left"/>
    </w:pPr>
    <w:rPr>
      <w:rFonts w:ascii="Times New Roman" w:hAnsi="Times New Roman"/>
      <w:sz w:val="24"/>
      <w:szCs w:val="24"/>
    </w:rPr>
  </w:style>
  <w:style w:type="paragraph" w:styleId="TM7">
    <w:name w:val="toc 7"/>
    <w:basedOn w:val="Normal"/>
    <w:next w:val="Normal"/>
    <w:autoRedefine/>
    <w:semiHidden/>
    <w:pPr>
      <w:spacing w:before="0"/>
      <w:ind w:left="1440"/>
      <w:jc w:val="left"/>
    </w:pPr>
    <w:rPr>
      <w:rFonts w:ascii="Times New Roman" w:hAnsi="Times New Roman"/>
      <w:sz w:val="24"/>
      <w:szCs w:val="24"/>
    </w:rPr>
  </w:style>
  <w:style w:type="paragraph" w:styleId="TM8">
    <w:name w:val="toc 8"/>
    <w:basedOn w:val="Normal"/>
    <w:next w:val="Normal"/>
    <w:autoRedefine/>
    <w:semiHidden/>
    <w:pPr>
      <w:spacing w:before="0"/>
      <w:ind w:left="1680"/>
      <w:jc w:val="left"/>
    </w:pPr>
    <w:rPr>
      <w:rFonts w:ascii="Times New Roman" w:hAnsi="Times New Roman"/>
      <w:sz w:val="24"/>
      <w:szCs w:val="24"/>
    </w:rPr>
  </w:style>
  <w:style w:type="paragraph" w:styleId="TM9">
    <w:name w:val="toc 9"/>
    <w:basedOn w:val="Normal"/>
    <w:next w:val="Normal"/>
    <w:autoRedefine/>
    <w:semiHidden/>
    <w:pPr>
      <w:spacing w:before="0"/>
      <w:ind w:left="1920"/>
      <w:jc w:val="left"/>
    </w:pPr>
    <w:rPr>
      <w:rFonts w:ascii="Times New Roman" w:hAnsi="Times New Roman"/>
      <w:sz w:val="24"/>
      <w:szCs w:val="24"/>
    </w:rPr>
  </w:style>
  <w:style w:type="paragraph" w:customStyle="1" w:styleId="Retrait0Vert">
    <w:name w:val="Retrait0 Vert"/>
    <w:basedOn w:val="Normal"/>
    <w:pPr>
      <w:shd w:val="clear" w:color="auto" w:fill="7AC043"/>
    </w:pPr>
    <w:rPr>
      <w:b/>
      <w:smallCaps/>
      <w:color w:val="FFFFFF"/>
      <w:sz w:val="22"/>
    </w:rPr>
  </w:style>
  <w:style w:type="paragraph" w:customStyle="1" w:styleId="Retrait0Bleu">
    <w:name w:val="Retrait0 Bleu"/>
    <w:basedOn w:val="Retrait0Vert"/>
    <w:pPr>
      <w:shd w:val="clear" w:color="auto" w:fill="90A7D5"/>
    </w:pPr>
  </w:style>
  <w:style w:type="paragraph" w:customStyle="1" w:styleId="Retrait0Rouge">
    <w:name w:val="Retrait0 Rouge"/>
    <w:basedOn w:val="Retrait0Bleu"/>
    <w:pPr>
      <w:shd w:val="clear" w:color="auto" w:fill="CC0000"/>
    </w:pPr>
  </w:style>
  <w:style w:type="paragraph" w:customStyle="1" w:styleId="Encadre">
    <w:name w:val="Encadre"/>
    <w:basedOn w:val="Normal"/>
    <w:pPr>
      <w:pBdr>
        <w:top w:val="single" w:sz="12" w:space="4" w:color="7AC043"/>
        <w:left w:val="single" w:sz="12" w:space="4" w:color="7AC043"/>
        <w:bottom w:val="single" w:sz="12" w:space="4" w:color="7AC043"/>
        <w:right w:val="single" w:sz="12" w:space="4" w:color="7AC043"/>
      </w:pBdr>
    </w:pPr>
    <w:rPr>
      <w:b/>
      <w:bCs/>
      <w:sz w:val="22"/>
    </w:rPr>
  </w:style>
  <w:style w:type="paragraph" w:styleId="Textedebulles">
    <w:name w:val="Balloon Text"/>
    <w:basedOn w:val="Normal"/>
    <w:link w:val="TextedebullesCar"/>
    <w:uiPriority w:val="99"/>
    <w:semiHidden/>
    <w:unhideWhenUsed/>
    <w:pPr>
      <w:spacing w:before="0"/>
    </w:pPr>
    <w:rPr>
      <w:rFonts w:ascii="Tahoma" w:hAnsi="Tahoma" w:cs="Tahoma"/>
      <w:sz w:val="16"/>
      <w:szCs w:val="16"/>
    </w:rPr>
  </w:style>
  <w:style w:type="character" w:customStyle="1" w:styleId="TextedebullesCar">
    <w:name w:val="Texte de bulles Car"/>
    <w:basedOn w:val="Policepardfaut"/>
    <w:link w:val="Textedebulles"/>
    <w:uiPriority w:val="99"/>
    <w:semiHidden/>
    <w:rPr>
      <w:rFonts w:ascii="Tahoma" w:hAnsi="Tahoma" w:cs="Tahoma"/>
      <w:sz w:val="16"/>
      <w:szCs w:val="16"/>
    </w:rPr>
  </w:style>
  <w:style w:type="table" w:styleId="Grilledutableau">
    <w:name w:val="Table Grid"/>
    <w:basedOn w:val="TableauNormal"/>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traitparagraphe1">
    <w:name w:val="Retrait paragraphe 1"/>
    <w:basedOn w:val="Retrait1"/>
    <w:pPr>
      <w:tabs>
        <w:tab w:val="clear" w:pos="680"/>
        <w:tab w:val="clear" w:pos="927"/>
        <w:tab w:val="num" w:pos="360"/>
        <w:tab w:val="left" w:pos="924"/>
      </w:tabs>
      <w:spacing w:before="80"/>
      <w:ind w:left="1134" w:firstLine="0"/>
    </w:pPr>
    <w:rPr>
      <w:rFonts w:ascii="Arial" w:hAnsi="Arial"/>
      <w:b w:val="0"/>
    </w:rPr>
  </w:style>
  <w:style w:type="paragraph" w:customStyle="1" w:styleId="WW-Standard1">
    <w:name w:val="WW-Standard1"/>
    <w:pPr>
      <w:suppressAutoHyphens/>
    </w:pPr>
    <w:rPr>
      <w:sz w:val="24"/>
      <w:lang w:eastAsia="ar-SA"/>
    </w:rPr>
  </w:style>
  <w:style w:type="paragraph" w:styleId="Tabledesillustrations">
    <w:name w:val="table of figures"/>
    <w:basedOn w:val="Normal"/>
    <w:next w:val="Normal"/>
    <w:uiPriority w:val="99"/>
    <w:unhideWhenUsed/>
  </w:style>
  <w:style w:type="paragraph" w:styleId="Paragraphedeliste">
    <w:name w:val="List Paragraph"/>
    <w:basedOn w:val="Normal"/>
    <w:link w:val="ParagraphedelisteCar"/>
    <w:uiPriority w:val="34"/>
    <w:qFormat/>
    <w:pPr>
      <w:ind w:left="720"/>
      <w:contextualSpacing/>
    </w:pPr>
  </w:style>
  <w:style w:type="character" w:customStyle="1" w:styleId="arial11">
    <w:name w:val="arial11"/>
    <w:basedOn w:val="Policepardfaut"/>
  </w:style>
  <w:style w:type="character" w:customStyle="1" w:styleId="arial12">
    <w:name w:val="arial12"/>
    <w:basedOn w:val="Policepardfaut"/>
  </w:style>
  <w:style w:type="character" w:styleId="lev">
    <w:name w:val="Strong"/>
    <w:uiPriority w:val="22"/>
    <w:qFormat/>
    <w:rPr>
      <w:b/>
      <w:bCs/>
    </w:rPr>
  </w:style>
  <w:style w:type="paragraph" w:styleId="Notedebasdepage">
    <w:name w:val="footnote text"/>
    <w:basedOn w:val="Normal"/>
    <w:link w:val="NotedebasdepageCar"/>
    <w:uiPriority w:val="99"/>
    <w:semiHidden/>
  </w:style>
  <w:style w:type="character" w:customStyle="1" w:styleId="NotedebasdepageCar">
    <w:name w:val="Note de bas de page Car"/>
    <w:basedOn w:val="Policepardfaut"/>
    <w:link w:val="Notedebasdepage"/>
    <w:uiPriority w:val="99"/>
    <w:semiHidden/>
    <w:rPr>
      <w:rFonts w:ascii="Arial Narrow" w:hAnsi="Arial Narrow"/>
    </w:rPr>
  </w:style>
  <w:style w:type="paragraph" w:customStyle="1" w:styleId="Important">
    <w:name w:val="Important"/>
    <w:basedOn w:val="Normal"/>
    <w:link w:val="ImportantCar"/>
    <w:qFormat/>
    <w:rPr>
      <w:rFonts w:ascii="Arial" w:hAnsi="Arial"/>
      <w:b/>
      <w:color w:val="990033"/>
    </w:rPr>
  </w:style>
  <w:style w:type="character" w:customStyle="1" w:styleId="ImportantCar">
    <w:name w:val="Important Car"/>
    <w:link w:val="Important"/>
    <w:rPr>
      <w:rFonts w:ascii="Arial" w:hAnsi="Arial"/>
      <w:b/>
      <w:color w:val="990033"/>
    </w:rPr>
  </w:style>
  <w:style w:type="paragraph" w:customStyle="1" w:styleId="Remarque">
    <w:name w:val="Remarque"/>
    <w:basedOn w:val="Normal"/>
    <w:link w:val="RemarqueCar"/>
    <w:qFormat/>
    <w:rPr>
      <w:rFonts w:ascii="Arial" w:hAnsi="Arial"/>
      <w:i/>
      <w:color w:val="990033"/>
    </w:rPr>
  </w:style>
  <w:style w:type="character" w:customStyle="1" w:styleId="RemarqueCar">
    <w:name w:val="Remarque Car"/>
    <w:link w:val="Remarque"/>
    <w:rPr>
      <w:rFonts w:ascii="Arial" w:hAnsi="Arial"/>
      <w:i/>
      <w:color w:val="990033"/>
    </w:rPr>
  </w:style>
  <w:style w:type="paragraph" w:customStyle="1" w:styleId="Retrait00">
    <w:name w:val="Retrait0"/>
    <w:basedOn w:val="Normal"/>
    <w:link w:val="Retrait0Car"/>
    <w:pPr>
      <w:shd w:val="clear" w:color="auto" w:fill="7AC043"/>
      <w:tabs>
        <w:tab w:val="right" w:pos="10206"/>
      </w:tabs>
      <w:spacing w:before="240"/>
      <w:jc w:val="left"/>
    </w:pPr>
    <w:rPr>
      <w:rFonts w:ascii="Arial" w:hAnsi="Arial"/>
      <w:b/>
      <w:smallCaps/>
      <w:color w:val="FFFFFF"/>
      <w:sz w:val="22"/>
    </w:rPr>
  </w:style>
  <w:style w:type="character" w:customStyle="1" w:styleId="Retrait0Car">
    <w:name w:val="Retrait0 Car"/>
    <w:link w:val="Retrait00"/>
    <w:locked/>
    <w:rPr>
      <w:rFonts w:ascii="Arial" w:hAnsi="Arial"/>
      <w:b/>
      <w:smallCaps/>
      <w:color w:val="FFFFFF"/>
      <w:sz w:val="22"/>
      <w:shd w:val="clear" w:color="auto" w:fill="7AC043"/>
    </w:rPr>
  </w:style>
  <w:style w:type="paragraph" w:customStyle="1" w:styleId="Retrait0">
    <w:name w:val="Retrait"/>
    <w:basedOn w:val="Normal"/>
    <w:pPr>
      <w:numPr>
        <w:numId w:val="6"/>
      </w:numPr>
      <w:spacing w:before="240"/>
      <w:jc w:val="left"/>
    </w:pPr>
    <w:rPr>
      <w:rFonts w:ascii="Arial" w:hAnsi="Arial"/>
      <w:b/>
      <w:u w:val="single"/>
    </w:rPr>
  </w:style>
  <w:style w:type="paragraph" w:customStyle="1" w:styleId="Retraitparagraphe2">
    <w:name w:val="Retrait paragraphe 2"/>
    <w:basedOn w:val="Retrait20"/>
    <w:pPr>
      <w:tabs>
        <w:tab w:val="clear" w:pos="964"/>
      </w:tabs>
      <w:spacing w:before="40"/>
      <w:ind w:firstLine="0"/>
    </w:pPr>
    <w:rPr>
      <w:rFonts w:ascii="Arial" w:hAnsi="Arial" w:cs="Times New Roman"/>
    </w:rPr>
  </w:style>
  <w:style w:type="paragraph" w:customStyle="1" w:styleId="Style1">
    <w:name w:val="Style1"/>
    <w:basedOn w:val="Normal"/>
    <w:pPr>
      <w:numPr>
        <w:numId w:val="7"/>
      </w:numPr>
    </w:pPr>
    <w:rPr>
      <w:rFonts w:ascii="Arial" w:hAnsi="Arial"/>
    </w:rPr>
  </w:style>
  <w:style w:type="paragraph" w:customStyle="1" w:styleId="CM57">
    <w:name w:val="CM57"/>
    <w:basedOn w:val="Normal"/>
    <w:next w:val="Normal"/>
    <w:pPr>
      <w:widowControl w:val="0"/>
      <w:autoSpaceDE w:val="0"/>
      <w:autoSpaceDN w:val="0"/>
      <w:adjustRightInd w:val="0"/>
      <w:spacing w:before="0"/>
    </w:pPr>
    <w:rPr>
      <w:rFonts w:ascii="Arial" w:eastAsia="MS Mincho" w:hAnsi="Arial"/>
      <w:noProof/>
      <w:sz w:val="22"/>
      <w:szCs w:val="24"/>
    </w:rPr>
  </w:style>
  <w:style w:type="paragraph" w:customStyle="1" w:styleId="photo">
    <w:name w:val="photo"/>
    <w:basedOn w:val="Normal"/>
    <w:link w:val="photoCar"/>
    <w:qFormat/>
    <w:pPr>
      <w:spacing w:before="0" w:after="60"/>
      <w:ind w:right="28"/>
    </w:pPr>
    <w:rPr>
      <w:rFonts w:ascii="Corbel" w:hAnsi="Corbel"/>
      <w:noProof/>
      <w:lang w:eastAsia="en-US"/>
    </w:rPr>
  </w:style>
  <w:style w:type="character" w:customStyle="1" w:styleId="photoCar">
    <w:name w:val="photo Car"/>
    <w:link w:val="photo"/>
    <w:rPr>
      <w:rFonts w:ascii="Corbel" w:hAnsi="Corbel"/>
      <w:noProof/>
      <w:lang w:eastAsia="en-US"/>
    </w:rPr>
  </w:style>
  <w:style w:type="paragraph" w:customStyle="1" w:styleId="DveloppementEncart">
    <w:name w:val="Développement Encart"/>
    <w:basedOn w:val="Normal"/>
    <w:link w:val="DveloppementEncartCar"/>
    <w:qFormat/>
    <w:pPr>
      <w:spacing w:before="60" w:after="60"/>
      <w:ind w:right="28"/>
    </w:pPr>
    <w:rPr>
      <w:rFonts w:ascii="Corbel" w:hAnsi="Corbel"/>
      <w:lang w:eastAsia="en-US"/>
    </w:rPr>
  </w:style>
  <w:style w:type="character" w:customStyle="1" w:styleId="DveloppementEncartCar">
    <w:name w:val="Développement Encart Car"/>
    <w:link w:val="DveloppementEncart"/>
    <w:rPr>
      <w:rFonts w:ascii="Corbel" w:hAnsi="Corbel"/>
      <w:lang w:eastAsia="en-US"/>
    </w:rPr>
  </w:style>
  <w:style w:type="paragraph" w:customStyle="1" w:styleId="ch-par2">
    <w:name w:val="ch-par2"/>
    <w:basedOn w:val="Normal"/>
    <w:pPr>
      <w:spacing w:before="100" w:beforeAutospacing="1" w:after="100" w:afterAutospacing="1"/>
      <w:jc w:val="left"/>
    </w:pPr>
    <w:rPr>
      <w:rFonts w:ascii="Times New Roman" w:hAnsi="Times New Roman"/>
      <w:sz w:val="24"/>
      <w:szCs w:val="24"/>
    </w:rPr>
  </w:style>
  <w:style w:type="paragraph" w:customStyle="1" w:styleId="TITREILLUSTRATION">
    <w:name w:val="TITRE ILLUSTRATION"/>
    <w:basedOn w:val="Normal"/>
    <w:link w:val="TITREILLUSTRATIONCar"/>
    <w:qFormat/>
    <w:pPr>
      <w:tabs>
        <w:tab w:val="right" w:pos="9072"/>
      </w:tabs>
      <w:ind w:right="-2"/>
    </w:pPr>
    <w:rPr>
      <w:rFonts w:ascii="Corbel" w:hAnsi="Corbel"/>
      <w:color w:val="5AB299"/>
      <w:sz w:val="18"/>
      <w:lang w:eastAsia="en-US" w:bidi="en-US"/>
    </w:rPr>
  </w:style>
  <w:style w:type="character" w:customStyle="1" w:styleId="TITREILLUSTRATIONCar">
    <w:name w:val="TITRE ILLUSTRATION Car"/>
    <w:basedOn w:val="Policepardfaut"/>
    <w:link w:val="TITREILLUSTRATION"/>
    <w:rPr>
      <w:rFonts w:ascii="Corbel" w:hAnsi="Corbel"/>
      <w:color w:val="5AB299"/>
      <w:sz w:val="18"/>
      <w:lang w:eastAsia="en-US" w:bidi="en-US"/>
    </w:rPr>
  </w:style>
  <w:style w:type="paragraph" w:customStyle="1" w:styleId="western">
    <w:name w:val="western"/>
    <w:basedOn w:val="Normal"/>
    <w:pPr>
      <w:suppressAutoHyphens/>
      <w:spacing w:before="280"/>
    </w:pPr>
    <w:rPr>
      <w:rFonts w:ascii="Arial" w:hAnsi="Arial" w:cs="Arial"/>
      <w:color w:val="000000"/>
      <w:sz w:val="24"/>
      <w:szCs w:val="24"/>
      <w:lang w:eastAsia="zh-CN"/>
    </w:rPr>
  </w:style>
  <w:style w:type="paragraph" w:customStyle="1" w:styleId="Retraitencart">
    <w:name w:val="Retrait encart"/>
    <w:basedOn w:val="DveloppementEncart"/>
    <w:link w:val="RetraitencartCar"/>
    <w:qFormat/>
    <w:pPr>
      <w:contextualSpacing/>
    </w:pPr>
  </w:style>
  <w:style w:type="character" w:customStyle="1" w:styleId="RetraitencartCar">
    <w:name w:val="Retrait encart Car"/>
    <w:basedOn w:val="DveloppementEncartCar"/>
    <w:link w:val="Retraitencart"/>
    <w:rPr>
      <w:rFonts w:ascii="Corbel" w:hAnsi="Corbel"/>
      <w:lang w:eastAsia="en-US"/>
    </w:rPr>
  </w:style>
  <w:style w:type="paragraph" w:customStyle="1" w:styleId="Source">
    <w:name w:val="Source"/>
    <w:basedOn w:val="Normal"/>
    <w:qFormat/>
    <w:pPr>
      <w:tabs>
        <w:tab w:val="center" w:pos="4536"/>
        <w:tab w:val="left" w:pos="4820"/>
        <w:tab w:val="left" w:pos="6036"/>
      </w:tabs>
      <w:spacing w:before="0" w:after="120"/>
    </w:pPr>
    <w:rPr>
      <w:rFonts w:ascii="Corbel" w:hAnsi="Corbel"/>
      <w:i/>
      <w:sz w:val="14"/>
      <w:lang w:eastAsia="en-US"/>
    </w:rPr>
  </w:style>
  <w:style w:type="paragraph" w:customStyle="1" w:styleId="retrait">
    <w:name w:val="retrait"/>
    <w:basedOn w:val="Retraitencart"/>
    <w:link w:val="retraitCar"/>
    <w:qFormat/>
    <w:pPr>
      <w:numPr>
        <w:numId w:val="8"/>
      </w:numPr>
      <w:spacing w:after="0"/>
      <w:contextualSpacing w:val="0"/>
    </w:pPr>
  </w:style>
  <w:style w:type="character" w:customStyle="1" w:styleId="retraitCar">
    <w:name w:val="retrait Car"/>
    <w:basedOn w:val="RetraitencartCar"/>
    <w:link w:val="retrait"/>
    <w:rPr>
      <w:rFonts w:ascii="Corbel" w:hAnsi="Corbel"/>
      <w:lang w:eastAsia="en-US"/>
    </w:rPr>
  </w:style>
  <w:style w:type="paragraph" w:customStyle="1" w:styleId="04-titre5">
    <w:name w:val="04-titre 5"/>
    <w:basedOn w:val="Retrait0"/>
    <w:link w:val="04-titre5Car"/>
    <w:qFormat/>
    <w:pPr>
      <w:numPr>
        <w:numId w:val="9"/>
      </w:numPr>
      <w:tabs>
        <w:tab w:val="center" w:pos="4536"/>
        <w:tab w:val="left" w:pos="4820"/>
        <w:tab w:val="right" w:pos="9072"/>
      </w:tabs>
      <w:spacing w:after="120"/>
      <w:jc w:val="both"/>
    </w:pPr>
    <w:rPr>
      <w:rFonts w:ascii="Century Gothic" w:hAnsi="Century Gothic"/>
      <w:b w:val="0"/>
      <w:color w:val="5AB299"/>
      <w:u w:val="none"/>
      <w:lang w:eastAsia="en-US"/>
    </w:rPr>
  </w:style>
  <w:style w:type="character" w:customStyle="1" w:styleId="04-titre5Car">
    <w:name w:val="04-titre 5 Car"/>
    <w:link w:val="04-titre5"/>
    <w:rPr>
      <w:rFonts w:ascii="Century Gothic" w:hAnsi="Century Gothic"/>
      <w:color w:val="5AB299"/>
      <w:lang w:eastAsia="en-US"/>
    </w:rPr>
  </w:style>
  <w:style w:type="paragraph" w:customStyle="1" w:styleId="02-Titre3">
    <w:name w:val="02-Titre 3"/>
    <w:basedOn w:val="Titre2"/>
    <w:qFormat/>
    <w:pPr>
      <w:numPr>
        <w:ilvl w:val="0"/>
        <w:numId w:val="0"/>
      </w:numPr>
      <w:tabs>
        <w:tab w:val="center" w:pos="4536"/>
        <w:tab w:val="left" w:pos="4820"/>
        <w:tab w:val="right" w:pos="9072"/>
      </w:tabs>
      <w:spacing w:after="120"/>
      <w:outlineLvl w:val="9"/>
    </w:pPr>
    <w:rPr>
      <w:rFonts w:ascii="Century Gothic" w:hAnsi="Century Gothic"/>
      <w:color w:val="5AB299"/>
      <w:sz w:val="24"/>
      <w:szCs w:val="24"/>
      <w:lang w:eastAsia="en-US"/>
    </w:rPr>
  </w:style>
  <w:style w:type="paragraph" w:customStyle="1" w:styleId="retrait2">
    <w:name w:val="retrait2"/>
    <w:basedOn w:val="Retraitencart"/>
    <w:link w:val="retrait2Car0"/>
    <w:qFormat/>
    <w:pPr>
      <w:numPr>
        <w:ilvl w:val="1"/>
        <w:numId w:val="10"/>
      </w:numPr>
    </w:pPr>
  </w:style>
  <w:style w:type="character" w:customStyle="1" w:styleId="retrait2Car0">
    <w:name w:val="retrait2 Car"/>
    <w:basedOn w:val="RetraitencartCar"/>
    <w:link w:val="retrait2"/>
    <w:rPr>
      <w:rFonts w:ascii="Corbel" w:hAnsi="Corbel"/>
      <w:lang w:eastAsia="en-US"/>
    </w:rPr>
  </w:style>
  <w:style w:type="paragraph" w:styleId="PrformatHTML">
    <w:name w:val="HTML Preformatted"/>
    <w:basedOn w:val="Normal"/>
    <w:link w:val="PrformatHTMLCar"/>
    <w:uiPriority w:val="99"/>
    <w:semiHidden/>
    <w:unhideWhenUs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jc w:val="left"/>
    </w:pPr>
    <w:rPr>
      <w:rFonts w:ascii="Courier New" w:hAnsi="Courier New" w:cs="Courier New"/>
    </w:rPr>
  </w:style>
  <w:style w:type="character" w:customStyle="1" w:styleId="PrformatHTMLCar">
    <w:name w:val="Préformaté HTML Car"/>
    <w:basedOn w:val="Policepardfaut"/>
    <w:link w:val="PrformatHTML"/>
    <w:uiPriority w:val="99"/>
    <w:semiHidden/>
    <w:rPr>
      <w:rFonts w:ascii="Courier New" w:hAnsi="Courier New" w:cs="Courier New"/>
    </w:rPr>
  </w:style>
  <w:style w:type="paragraph" w:customStyle="1" w:styleId="spip">
    <w:name w:val="spip"/>
    <w:basedOn w:val="Normal"/>
    <w:pPr>
      <w:spacing w:before="100" w:beforeAutospacing="1" w:after="100" w:afterAutospacing="1"/>
      <w:jc w:val="left"/>
    </w:pPr>
    <w:rPr>
      <w:rFonts w:ascii="Times New Roman" w:hAnsi="Times New Roman"/>
      <w:sz w:val="24"/>
      <w:szCs w:val="24"/>
    </w:rPr>
  </w:style>
  <w:style w:type="paragraph" w:styleId="Objetducommentaire">
    <w:name w:val="annotation subject"/>
    <w:basedOn w:val="Commentaire"/>
    <w:next w:val="Commentaire"/>
    <w:link w:val="ObjetducommentaireCar"/>
    <w:uiPriority w:val="99"/>
    <w:semiHidden/>
    <w:unhideWhenUsed/>
    <w:rPr>
      <w:b/>
      <w:bCs/>
    </w:rPr>
  </w:style>
  <w:style w:type="character" w:customStyle="1" w:styleId="ObjetducommentaireCar">
    <w:name w:val="Objet du commentaire Car"/>
    <w:basedOn w:val="CommentaireCar"/>
    <w:link w:val="Objetducommentaire"/>
    <w:uiPriority w:val="99"/>
    <w:semiHidden/>
    <w:rPr>
      <w:rFonts w:ascii="Arial Narrow" w:hAnsi="Arial Narrow"/>
      <w:b/>
      <w:bCs/>
    </w:rPr>
  </w:style>
  <w:style w:type="paragraph" w:customStyle="1" w:styleId="Default">
    <w:name w:val="Default"/>
    <w:pPr>
      <w:autoSpaceDE w:val="0"/>
      <w:autoSpaceDN w:val="0"/>
      <w:adjustRightInd w:val="0"/>
    </w:pPr>
    <w:rPr>
      <w:rFonts w:ascii="Candara" w:hAnsi="Candara" w:cs="Candara"/>
      <w:color w:val="000000"/>
      <w:sz w:val="24"/>
      <w:szCs w:val="24"/>
    </w:rPr>
  </w:style>
  <w:style w:type="paragraph" w:customStyle="1" w:styleId="Texte">
    <w:name w:val="Texte"/>
    <w:basedOn w:val="Default"/>
    <w:next w:val="Default"/>
    <w:uiPriority w:val="99"/>
    <w:rPr>
      <w:rFonts w:ascii="Arial" w:hAnsi="Arial" w:cs="Arial"/>
      <w:color w:val="auto"/>
    </w:rPr>
  </w:style>
  <w:style w:type="paragraph" w:customStyle="1" w:styleId="EnumPoint">
    <w:name w:val="Enum_Point"/>
    <w:basedOn w:val="Normal"/>
    <w:pPr>
      <w:keepNext/>
      <w:numPr>
        <w:numId w:val="12"/>
      </w:numPr>
      <w:shd w:val="clear" w:color="auto" w:fill="FFFFFF"/>
      <w:tabs>
        <w:tab w:val="left" w:pos="1870"/>
        <w:tab w:val="left" w:pos="8350"/>
        <w:tab w:val="left" w:pos="9175"/>
        <w:tab w:val="left" w:pos="9790"/>
      </w:tabs>
      <w:spacing w:before="60" w:after="120"/>
      <w:ind w:left="357" w:hanging="357"/>
    </w:pPr>
    <w:rPr>
      <w:rFonts w:ascii="Arial" w:hAnsi="Arial" w:cs="Arial"/>
      <w:b/>
      <w:bCs/>
    </w:rPr>
  </w:style>
  <w:style w:type="paragraph" w:customStyle="1" w:styleId="Emphaserouge">
    <w:name w:val="Emphase rouge"/>
    <w:basedOn w:val="Normal"/>
    <w:qFormat/>
    <w:pPr>
      <w:spacing w:before="200" w:after="40"/>
    </w:pPr>
    <w:rPr>
      <w:color w:val="DE333F"/>
      <w:sz w:val="24"/>
    </w:rPr>
  </w:style>
  <w:style w:type="character" w:customStyle="1" w:styleId="A15">
    <w:name w:val="A15"/>
    <w:uiPriority w:val="99"/>
    <w:rPr>
      <w:color w:val="000000"/>
      <w:sz w:val="11"/>
      <w:szCs w:val="11"/>
    </w:rPr>
  </w:style>
  <w:style w:type="character" w:customStyle="1" w:styleId="A16">
    <w:name w:val="A16"/>
    <w:uiPriority w:val="99"/>
    <w:rPr>
      <w:b/>
      <w:bCs/>
      <w:color w:val="000000"/>
      <w:sz w:val="20"/>
      <w:szCs w:val="20"/>
      <w:u w:val="single"/>
    </w:rPr>
  </w:style>
  <w:style w:type="paragraph" w:customStyle="1" w:styleId="Pa0">
    <w:name w:val="Pa0"/>
    <w:basedOn w:val="Default"/>
    <w:next w:val="Default"/>
    <w:uiPriority w:val="99"/>
    <w:pPr>
      <w:spacing w:line="201" w:lineRule="atLeast"/>
    </w:pPr>
    <w:rPr>
      <w:rFonts w:ascii="Arial" w:hAnsi="Arial" w:cs="Arial"/>
      <w:color w:val="auto"/>
    </w:rPr>
  </w:style>
  <w:style w:type="paragraph" w:customStyle="1" w:styleId="Pa34">
    <w:name w:val="Pa34"/>
    <w:basedOn w:val="Default"/>
    <w:next w:val="Default"/>
    <w:uiPriority w:val="99"/>
    <w:pPr>
      <w:spacing w:line="201" w:lineRule="atLeast"/>
    </w:pPr>
    <w:rPr>
      <w:rFonts w:ascii="Arial" w:hAnsi="Arial" w:cs="Arial"/>
      <w:color w:val="auto"/>
    </w:rPr>
  </w:style>
  <w:style w:type="paragraph" w:customStyle="1" w:styleId="Pa35">
    <w:name w:val="Pa35"/>
    <w:basedOn w:val="Default"/>
    <w:next w:val="Default"/>
    <w:uiPriority w:val="99"/>
    <w:pPr>
      <w:spacing w:line="201" w:lineRule="atLeast"/>
    </w:pPr>
    <w:rPr>
      <w:rFonts w:ascii="Arial" w:hAnsi="Arial" w:cs="Arial"/>
      <w:color w:val="auto"/>
    </w:rPr>
  </w:style>
  <w:style w:type="character" w:customStyle="1" w:styleId="A8">
    <w:name w:val="A8"/>
    <w:uiPriority w:val="99"/>
    <w:rPr>
      <w:color w:val="000000"/>
    </w:rPr>
  </w:style>
  <w:style w:type="character" w:customStyle="1" w:styleId="A14">
    <w:name w:val="A14"/>
    <w:uiPriority w:val="99"/>
    <w:rPr>
      <w:color w:val="000000"/>
    </w:rPr>
  </w:style>
  <w:style w:type="paragraph" w:customStyle="1" w:styleId="Standard1">
    <w:name w:val="Standard_1"/>
    <w:uiPriority w:val="99"/>
    <w:pPr>
      <w:autoSpaceDE w:val="0"/>
      <w:autoSpaceDN w:val="0"/>
      <w:adjustRightInd w:val="0"/>
      <w:spacing w:line="200" w:lineRule="atLeast"/>
    </w:pPr>
    <w:rPr>
      <w:rFonts w:ascii="Mangal" w:eastAsia="Microsoft YaHei" w:hAnsi="Mangal" w:cs="Mangal"/>
      <w:kern w:val="1"/>
      <w:sz w:val="36"/>
      <w:szCs w:val="36"/>
    </w:rPr>
  </w:style>
  <w:style w:type="paragraph" w:customStyle="1" w:styleId="Standard12">
    <w:name w:val="Standard_1_2"/>
    <w:uiPriority w:val="99"/>
    <w:pPr>
      <w:autoSpaceDE w:val="0"/>
      <w:autoSpaceDN w:val="0"/>
      <w:adjustRightInd w:val="0"/>
      <w:spacing w:line="200" w:lineRule="atLeast"/>
    </w:pPr>
    <w:rPr>
      <w:rFonts w:ascii="Mangal" w:eastAsia="Microsoft YaHei" w:hAnsi="Mangal" w:cs="Mangal"/>
      <w:kern w:val="1"/>
      <w:sz w:val="36"/>
      <w:szCs w:val="36"/>
    </w:rPr>
  </w:style>
  <w:style w:type="paragraph" w:customStyle="1" w:styleId="Pa28">
    <w:name w:val="Pa28"/>
    <w:basedOn w:val="Default"/>
    <w:next w:val="Default"/>
    <w:uiPriority w:val="99"/>
    <w:pPr>
      <w:spacing w:line="321" w:lineRule="atLeast"/>
    </w:pPr>
    <w:rPr>
      <w:rFonts w:ascii="Calibri" w:hAnsi="Calibri" w:cs="Calibri"/>
      <w:color w:val="auto"/>
    </w:rPr>
  </w:style>
  <w:style w:type="character" w:customStyle="1" w:styleId="A12">
    <w:name w:val="A12"/>
    <w:uiPriority w:val="99"/>
    <w:rPr>
      <w:color w:val="000000"/>
      <w:sz w:val="25"/>
      <w:szCs w:val="25"/>
    </w:rPr>
  </w:style>
  <w:style w:type="paragraph" w:customStyle="1" w:styleId="Pa31">
    <w:name w:val="Pa31"/>
    <w:basedOn w:val="Default"/>
    <w:next w:val="Default"/>
    <w:uiPriority w:val="99"/>
    <w:pPr>
      <w:spacing w:line="321" w:lineRule="atLeast"/>
    </w:pPr>
    <w:rPr>
      <w:rFonts w:ascii="Calibri" w:hAnsi="Calibri" w:cs="Calibri"/>
      <w:color w:val="auto"/>
    </w:rPr>
  </w:style>
  <w:style w:type="paragraph" w:customStyle="1" w:styleId="Pa32">
    <w:name w:val="Pa32"/>
    <w:basedOn w:val="Default"/>
    <w:next w:val="Default"/>
    <w:uiPriority w:val="99"/>
    <w:pPr>
      <w:spacing w:line="321" w:lineRule="atLeast"/>
    </w:pPr>
    <w:rPr>
      <w:rFonts w:ascii="Calibri" w:hAnsi="Calibri" w:cs="Calibri"/>
      <w:color w:val="auto"/>
    </w:rPr>
  </w:style>
  <w:style w:type="paragraph" w:customStyle="1" w:styleId="Para1">
    <w:name w:val="Para1"/>
    <w:basedOn w:val="Normal"/>
    <w:pPr>
      <w:tabs>
        <w:tab w:val="left" w:pos="709"/>
      </w:tabs>
      <w:spacing w:before="60" w:after="60" w:line="300" w:lineRule="atLeast"/>
    </w:pPr>
    <w:rPr>
      <w:rFonts w:ascii="Arial" w:hAnsi="Arial" w:cs="Arial"/>
      <w:sz w:val="24"/>
      <w:szCs w:val="24"/>
    </w:rPr>
  </w:style>
  <w:style w:type="paragraph" w:customStyle="1" w:styleId="D8518EA2FBAF40A8B02F7AE3ACA65F01">
    <w:name w:val="D8518EA2FBAF40A8B02F7AE3ACA65F01"/>
    <w:pPr>
      <w:spacing w:after="200" w:line="276" w:lineRule="auto"/>
    </w:pPr>
    <w:rPr>
      <w:rFonts w:asciiTheme="minorHAnsi" w:eastAsiaTheme="minorEastAsia" w:hAnsiTheme="minorHAnsi" w:cstheme="minorBidi"/>
      <w:sz w:val="22"/>
      <w:szCs w:val="22"/>
      <w:lang w:val="en-US" w:eastAsia="en-US"/>
    </w:rPr>
  </w:style>
  <w:style w:type="paragraph" w:styleId="Sansinterligne">
    <w:name w:val="No Spacing"/>
    <w:link w:val="SansinterligneCar"/>
    <w:uiPriority w:val="1"/>
    <w:qFormat/>
    <w:rPr>
      <w:rFonts w:asciiTheme="minorHAnsi" w:eastAsiaTheme="minorEastAsia" w:hAnsiTheme="minorHAnsi" w:cstheme="minorBidi"/>
      <w:sz w:val="22"/>
      <w:szCs w:val="22"/>
      <w:lang w:eastAsia="en-US"/>
    </w:rPr>
  </w:style>
  <w:style w:type="character" w:customStyle="1" w:styleId="SansinterligneCar">
    <w:name w:val="Sans interligne Car"/>
    <w:basedOn w:val="Policepardfaut"/>
    <w:link w:val="Sansinterligne"/>
    <w:uiPriority w:val="1"/>
    <w:rPr>
      <w:rFonts w:asciiTheme="minorHAnsi" w:eastAsiaTheme="minorEastAsia" w:hAnsiTheme="minorHAnsi" w:cstheme="minorBidi"/>
      <w:sz w:val="22"/>
      <w:szCs w:val="22"/>
      <w:lang w:eastAsia="en-US"/>
    </w:rPr>
  </w:style>
  <w:style w:type="character" w:customStyle="1" w:styleId="ExplorateurdedocumentsCar">
    <w:name w:val="Explorateur de documents Car"/>
    <w:basedOn w:val="Policepardfaut"/>
    <w:link w:val="Explorateurdedocuments"/>
    <w:uiPriority w:val="99"/>
    <w:semiHidden/>
    <w:rPr>
      <w:rFonts w:ascii="Tahoma" w:hAnsi="Tahoma" w:cs="Tahoma"/>
      <w:sz w:val="16"/>
      <w:szCs w:val="16"/>
    </w:rPr>
  </w:style>
  <w:style w:type="paragraph" w:styleId="Explorateurdedocuments">
    <w:name w:val="Document Map"/>
    <w:basedOn w:val="Normal"/>
    <w:link w:val="ExplorateurdedocumentsCar"/>
    <w:uiPriority w:val="99"/>
    <w:semiHidden/>
    <w:unhideWhenUsed/>
    <w:pPr>
      <w:spacing w:before="0"/>
    </w:pPr>
    <w:rPr>
      <w:rFonts w:ascii="Tahoma" w:hAnsi="Tahoma" w:cs="Tahoma"/>
      <w:sz w:val="16"/>
      <w:szCs w:val="16"/>
    </w:rPr>
  </w:style>
  <w:style w:type="paragraph" w:customStyle="1" w:styleId="Emphasebleu">
    <w:name w:val="Emphase bleu"/>
    <w:basedOn w:val="Sous-titregris"/>
    <w:qFormat/>
    <w:rPr>
      <w:color w:val="0070C0"/>
    </w:rPr>
  </w:style>
  <w:style w:type="character" w:customStyle="1" w:styleId="CorpsdetexteCar">
    <w:name w:val="Corps de texte Car"/>
    <w:basedOn w:val="Policepardfaut"/>
    <w:link w:val="Corpsdetexte"/>
    <w:uiPriority w:val="99"/>
    <w:semiHidden/>
    <w:rPr>
      <w:rFonts w:ascii="Arial Narrow" w:hAnsi="Arial Narrow"/>
    </w:rPr>
  </w:style>
  <w:style w:type="character" w:customStyle="1" w:styleId="ParagraphedelisteCar">
    <w:name w:val="Paragraphe de liste Car"/>
    <w:link w:val="Paragraphedeliste"/>
    <w:uiPriority w:val="34"/>
    <w:locked/>
    <w:rPr>
      <w:rFonts w:ascii="Arial Narrow" w:hAnsi="Arial Narrow"/>
    </w:rPr>
  </w:style>
  <w:style w:type="paragraph" w:styleId="Notedefin">
    <w:name w:val="endnote text"/>
    <w:basedOn w:val="Normal"/>
    <w:link w:val="NotedefinCar"/>
    <w:uiPriority w:val="99"/>
    <w:semiHidden/>
    <w:unhideWhenUsed/>
    <w:pPr>
      <w:spacing w:before="0"/>
    </w:pPr>
  </w:style>
  <w:style w:type="character" w:customStyle="1" w:styleId="NotedefinCar">
    <w:name w:val="Note de fin Car"/>
    <w:basedOn w:val="Policepardfaut"/>
    <w:link w:val="Notedefin"/>
    <w:uiPriority w:val="99"/>
    <w:semiHidden/>
    <w:rPr>
      <w:rFonts w:ascii="Arial Narrow" w:hAnsi="Arial Narro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136542">
      <w:bodyDiv w:val="1"/>
      <w:marLeft w:val="0"/>
      <w:marRight w:val="0"/>
      <w:marTop w:val="0"/>
      <w:marBottom w:val="0"/>
      <w:divBdr>
        <w:top w:val="none" w:sz="0" w:space="0" w:color="auto"/>
        <w:left w:val="none" w:sz="0" w:space="0" w:color="auto"/>
        <w:bottom w:val="none" w:sz="0" w:space="0" w:color="auto"/>
        <w:right w:val="none" w:sz="0" w:space="0" w:color="auto"/>
      </w:divBdr>
    </w:div>
    <w:div w:id="39868149">
      <w:bodyDiv w:val="1"/>
      <w:marLeft w:val="0"/>
      <w:marRight w:val="0"/>
      <w:marTop w:val="0"/>
      <w:marBottom w:val="0"/>
      <w:divBdr>
        <w:top w:val="none" w:sz="0" w:space="0" w:color="auto"/>
        <w:left w:val="none" w:sz="0" w:space="0" w:color="auto"/>
        <w:bottom w:val="none" w:sz="0" w:space="0" w:color="auto"/>
        <w:right w:val="none" w:sz="0" w:space="0" w:color="auto"/>
      </w:divBdr>
    </w:div>
    <w:div w:id="62680541">
      <w:bodyDiv w:val="1"/>
      <w:marLeft w:val="0"/>
      <w:marRight w:val="0"/>
      <w:marTop w:val="0"/>
      <w:marBottom w:val="0"/>
      <w:divBdr>
        <w:top w:val="none" w:sz="0" w:space="0" w:color="auto"/>
        <w:left w:val="none" w:sz="0" w:space="0" w:color="auto"/>
        <w:bottom w:val="none" w:sz="0" w:space="0" w:color="auto"/>
        <w:right w:val="none" w:sz="0" w:space="0" w:color="auto"/>
      </w:divBdr>
    </w:div>
    <w:div w:id="71782296">
      <w:bodyDiv w:val="1"/>
      <w:marLeft w:val="0"/>
      <w:marRight w:val="0"/>
      <w:marTop w:val="0"/>
      <w:marBottom w:val="0"/>
      <w:divBdr>
        <w:top w:val="none" w:sz="0" w:space="0" w:color="auto"/>
        <w:left w:val="none" w:sz="0" w:space="0" w:color="auto"/>
        <w:bottom w:val="none" w:sz="0" w:space="0" w:color="auto"/>
        <w:right w:val="none" w:sz="0" w:space="0" w:color="auto"/>
      </w:divBdr>
    </w:div>
    <w:div w:id="97724394">
      <w:bodyDiv w:val="1"/>
      <w:marLeft w:val="0"/>
      <w:marRight w:val="0"/>
      <w:marTop w:val="0"/>
      <w:marBottom w:val="0"/>
      <w:divBdr>
        <w:top w:val="none" w:sz="0" w:space="0" w:color="auto"/>
        <w:left w:val="none" w:sz="0" w:space="0" w:color="auto"/>
        <w:bottom w:val="none" w:sz="0" w:space="0" w:color="auto"/>
        <w:right w:val="none" w:sz="0" w:space="0" w:color="auto"/>
      </w:divBdr>
    </w:div>
    <w:div w:id="103889787">
      <w:bodyDiv w:val="1"/>
      <w:marLeft w:val="0"/>
      <w:marRight w:val="0"/>
      <w:marTop w:val="0"/>
      <w:marBottom w:val="0"/>
      <w:divBdr>
        <w:top w:val="none" w:sz="0" w:space="0" w:color="auto"/>
        <w:left w:val="none" w:sz="0" w:space="0" w:color="auto"/>
        <w:bottom w:val="none" w:sz="0" w:space="0" w:color="auto"/>
        <w:right w:val="none" w:sz="0" w:space="0" w:color="auto"/>
      </w:divBdr>
    </w:div>
    <w:div w:id="167445394">
      <w:bodyDiv w:val="1"/>
      <w:marLeft w:val="0"/>
      <w:marRight w:val="0"/>
      <w:marTop w:val="0"/>
      <w:marBottom w:val="0"/>
      <w:divBdr>
        <w:top w:val="none" w:sz="0" w:space="0" w:color="auto"/>
        <w:left w:val="none" w:sz="0" w:space="0" w:color="auto"/>
        <w:bottom w:val="none" w:sz="0" w:space="0" w:color="auto"/>
        <w:right w:val="none" w:sz="0" w:space="0" w:color="auto"/>
      </w:divBdr>
    </w:div>
    <w:div w:id="194388575">
      <w:bodyDiv w:val="1"/>
      <w:marLeft w:val="0"/>
      <w:marRight w:val="0"/>
      <w:marTop w:val="0"/>
      <w:marBottom w:val="0"/>
      <w:divBdr>
        <w:top w:val="none" w:sz="0" w:space="0" w:color="auto"/>
        <w:left w:val="none" w:sz="0" w:space="0" w:color="auto"/>
        <w:bottom w:val="none" w:sz="0" w:space="0" w:color="auto"/>
        <w:right w:val="none" w:sz="0" w:space="0" w:color="auto"/>
      </w:divBdr>
    </w:div>
    <w:div w:id="249654691">
      <w:bodyDiv w:val="1"/>
      <w:marLeft w:val="0"/>
      <w:marRight w:val="0"/>
      <w:marTop w:val="0"/>
      <w:marBottom w:val="0"/>
      <w:divBdr>
        <w:top w:val="none" w:sz="0" w:space="0" w:color="auto"/>
        <w:left w:val="none" w:sz="0" w:space="0" w:color="auto"/>
        <w:bottom w:val="none" w:sz="0" w:space="0" w:color="auto"/>
        <w:right w:val="none" w:sz="0" w:space="0" w:color="auto"/>
      </w:divBdr>
    </w:div>
    <w:div w:id="256796483">
      <w:bodyDiv w:val="1"/>
      <w:marLeft w:val="0"/>
      <w:marRight w:val="0"/>
      <w:marTop w:val="0"/>
      <w:marBottom w:val="0"/>
      <w:divBdr>
        <w:top w:val="none" w:sz="0" w:space="0" w:color="auto"/>
        <w:left w:val="none" w:sz="0" w:space="0" w:color="auto"/>
        <w:bottom w:val="none" w:sz="0" w:space="0" w:color="auto"/>
        <w:right w:val="none" w:sz="0" w:space="0" w:color="auto"/>
      </w:divBdr>
    </w:div>
    <w:div w:id="283998435">
      <w:bodyDiv w:val="1"/>
      <w:marLeft w:val="0"/>
      <w:marRight w:val="0"/>
      <w:marTop w:val="0"/>
      <w:marBottom w:val="0"/>
      <w:divBdr>
        <w:top w:val="none" w:sz="0" w:space="0" w:color="auto"/>
        <w:left w:val="none" w:sz="0" w:space="0" w:color="auto"/>
        <w:bottom w:val="none" w:sz="0" w:space="0" w:color="auto"/>
        <w:right w:val="none" w:sz="0" w:space="0" w:color="auto"/>
      </w:divBdr>
      <w:divsChild>
        <w:div w:id="137654046">
          <w:marLeft w:val="0"/>
          <w:marRight w:val="0"/>
          <w:marTop w:val="0"/>
          <w:marBottom w:val="0"/>
          <w:divBdr>
            <w:top w:val="none" w:sz="0" w:space="0" w:color="auto"/>
            <w:left w:val="none" w:sz="0" w:space="0" w:color="auto"/>
            <w:bottom w:val="none" w:sz="0" w:space="0" w:color="auto"/>
            <w:right w:val="none" w:sz="0" w:space="0" w:color="auto"/>
          </w:divBdr>
        </w:div>
        <w:div w:id="381826905">
          <w:marLeft w:val="0"/>
          <w:marRight w:val="0"/>
          <w:marTop w:val="0"/>
          <w:marBottom w:val="0"/>
          <w:divBdr>
            <w:top w:val="none" w:sz="0" w:space="0" w:color="auto"/>
            <w:left w:val="none" w:sz="0" w:space="0" w:color="auto"/>
            <w:bottom w:val="none" w:sz="0" w:space="0" w:color="auto"/>
            <w:right w:val="none" w:sz="0" w:space="0" w:color="auto"/>
          </w:divBdr>
        </w:div>
        <w:div w:id="1000425066">
          <w:marLeft w:val="0"/>
          <w:marRight w:val="0"/>
          <w:marTop w:val="0"/>
          <w:marBottom w:val="0"/>
          <w:divBdr>
            <w:top w:val="none" w:sz="0" w:space="0" w:color="auto"/>
            <w:left w:val="none" w:sz="0" w:space="0" w:color="auto"/>
            <w:bottom w:val="none" w:sz="0" w:space="0" w:color="auto"/>
            <w:right w:val="none" w:sz="0" w:space="0" w:color="auto"/>
          </w:divBdr>
        </w:div>
        <w:div w:id="1013530652">
          <w:marLeft w:val="0"/>
          <w:marRight w:val="0"/>
          <w:marTop w:val="0"/>
          <w:marBottom w:val="0"/>
          <w:divBdr>
            <w:top w:val="none" w:sz="0" w:space="0" w:color="auto"/>
            <w:left w:val="none" w:sz="0" w:space="0" w:color="auto"/>
            <w:bottom w:val="none" w:sz="0" w:space="0" w:color="auto"/>
            <w:right w:val="none" w:sz="0" w:space="0" w:color="auto"/>
          </w:divBdr>
        </w:div>
        <w:div w:id="1657413382">
          <w:marLeft w:val="0"/>
          <w:marRight w:val="0"/>
          <w:marTop w:val="0"/>
          <w:marBottom w:val="0"/>
          <w:divBdr>
            <w:top w:val="none" w:sz="0" w:space="0" w:color="auto"/>
            <w:left w:val="none" w:sz="0" w:space="0" w:color="auto"/>
            <w:bottom w:val="none" w:sz="0" w:space="0" w:color="auto"/>
            <w:right w:val="none" w:sz="0" w:space="0" w:color="auto"/>
          </w:divBdr>
        </w:div>
        <w:div w:id="1789084175">
          <w:marLeft w:val="0"/>
          <w:marRight w:val="0"/>
          <w:marTop w:val="0"/>
          <w:marBottom w:val="0"/>
          <w:divBdr>
            <w:top w:val="none" w:sz="0" w:space="0" w:color="auto"/>
            <w:left w:val="none" w:sz="0" w:space="0" w:color="auto"/>
            <w:bottom w:val="none" w:sz="0" w:space="0" w:color="auto"/>
            <w:right w:val="none" w:sz="0" w:space="0" w:color="auto"/>
          </w:divBdr>
        </w:div>
        <w:div w:id="1803621362">
          <w:marLeft w:val="0"/>
          <w:marRight w:val="0"/>
          <w:marTop w:val="0"/>
          <w:marBottom w:val="0"/>
          <w:divBdr>
            <w:top w:val="none" w:sz="0" w:space="0" w:color="auto"/>
            <w:left w:val="none" w:sz="0" w:space="0" w:color="auto"/>
            <w:bottom w:val="none" w:sz="0" w:space="0" w:color="auto"/>
            <w:right w:val="none" w:sz="0" w:space="0" w:color="auto"/>
          </w:divBdr>
        </w:div>
        <w:div w:id="1965651162">
          <w:marLeft w:val="0"/>
          <w:marRight w:val="0"/>
          <w:marTop w:val="0"/>
          <w:marBottom w:val="0"/>
          <w:divBdr>
            <w:top w:val="none" w:sz="0" w:space="0" w:color="auto"/>
            <w:left w:val="none" w:sz="0" w:space="0" w:color="auto"/>
            <w:bottom w:val="none" w:sz="0" w:space="0" w:color="auto"/>
            <w:right w:val="none" w:sz="0" w:space="0" w:color="auto"/>
          </w:divBdr>
        </w:div>
      </w:divsChild>
    </w:div>
    <w:div w:id="287130818">
      <w:bodyDiv w:val="1"/>
      <w:marLeft w:val="0"/>
      <w:marRight w:val="0"/>
      <w:marTop w:val="0"/>
      <w:marBottom w:val="0"/>
      <w:divBdr>
        <w:top w:val="none" w:sz="0" w:space="0" w:color="auto"/>
        <w:left w:val="none" w:sz="0" w:space="0" w:color="auto"/>
        <w:bottom w:val="none" w:sz="0" w:space="0" w:color="auto"/>
        <w:right w:val="none" w:sz="0" w:space="0" w:color="auto"/>
      </w:divBdr>
    </w:div>
    <w:div w:id="323318957">
      <w:bodyDiv w:val="1"/>
      <w:marLeft w:val="0"/>
      <w:marRight w:val="0"/>
      <w:marTop w:val="0"/>
      <w:marBottom w:val="0"/>
      <w:divBdr>
        <w:top w:val="none" w:sz="0" w:space="0" w:color="auto"/>
        <w:left w:val="none" w:sz="0" w:space="0" w:color="auto"/>
        <w:bottom w:val="none" w:sz="0" w:space="0" w:color="auto"/>
        <w:right w:val="none" w:sz="0" w:space="0" w:color="auto"/>
      </w:divBdr>
    </w:div>
    <w:div w:id="381371907">
      <w:bodyDiv w:val="1"/>
      <w:marLeft w:val="0"/>
      <w:marRight w:val="0"/>
      <w:marTop w:val="0"/>
      <w:marBottom w:val="0"/>
      <w:divBdr>
        <w:top w:val="none" w:sz="0" w:space="0" w:color="auto"/>
        <w:left w:val="none" w:sz="0" w:space="0" w:color="auto"/>
        <w:bottom w:val="none" w:sz="0" w:space="0" w:color="auto"/>
        <w:right w:val="none" w:sz="0" w:space="0" w:color="auto"/>
      </w:divBdr>
    </w:div>
    <w:div w:id="399443626">
      <w:bodyDiv w:val="1"/>
      <w:marLeft w:val="0"/>
      <w:marRight w:val="0"/>
      <w:marTop w:val="0"/>
      <w:marBottom w:val="0"/>
      <w:divBdr>
        <w:top w:val="none" w:sz="0" w:space="0" w:color="auto"/>
        <w:left w:val="none" w:sz="0" w:space="0" w:color="auto"/>
        <w:bottom w:val="none" w:sz="0" w:space="0" w:color="auto"/>
        <w:right w:val="none" w:sz="0" w:space="0" w:color="auto"/>
      </w:divBdr>
    </w:div>
    <w:div w:id="408039650">
      <w:bodyDiv w:val="1"/>
      <w:marLeft w:val="0"/>
      <w:marRight w:val="0"/>
      <w:marTop w:val="0"/>
      <w:marBottom w:val="0"/>
      <w:divBdr>
        <w:top w:val="none" w:sz="0" w:space="0" w:color="auto"/>
        <w:left w:val="none" w:sz="0" w:space="0" w:color="auto"/>
        <w:bottom w:val="none" w:sz="0" w:space="0" w:color="auto"/>
        <w:right w:val="none" w:sz="0" w:space="0" w:color="auto"/>
      </w:divBdr>
    </w:div>
    <w:div w:id="416171884">
      <w:bodyDiv w:val="1"/>
      <w:marLeft w:val="0"/>
      <w:marRight w:val="0"/>
      <w:marTop w:val="0"/>
      <w:marBottom w:val="0"/>
      <w:divBdr>
        <w:top w:val="none" w:sz="0" w:space="0" w:color="auto"/>
        <w:left w:val="none" w:sz="0" w:space="0" w:color="auto"/>
        <w:bottom w:val="none" w:sz="0" w:space="0" w:color="auto"/>
        <w:right w:val="none" w:sz="0" w:space="0" w:color="auto"/>
      </w:divBdr>
    </w:div>
    <w:div w:id="424881929">
      <w:bodyDiv w:val="1"/>
      <w:marLeft w:val="0"/>
      <w:marRight w:val="0"/>
      <w:marTop w:val="0"/>
      <w:marBottom w:val="0"/>
      <w:divBdr>
        <w:top w:val="none" w:sz="0" w:space="0" w:color="auto"/>
        <w:left w:val="none" w:sz="0" w:space="0" w:color="auto"/>
        <w:bottom w:val="none" w:sz="0" w:space="0" w:color="auto"/>
        <w:right w:val="none" w:sz="0" w:space="0" w:color="auto"/>
      </w:divBdr>
      <w:divsChild>
        <w:div w:id="29838300">
          <w:marLeft w:val="0"/>
          <w:marRight w:val="0"/>
          <w:marTop w:val="0"/>
          <w:marBottom w:val="0"/>
          <w:divBdr>
            <w:top w:val="none" w:sz="0" w:space="0" w:color="auto"/>
            <w:left w:val="none" w:sz="0" w:space="0" w:color="auto"/>
            <w:bottom w:val="none" w:sz="0" w:space="0" w:color="auto"/>
            <w:right w:val="none" w:sz="0" w:space="0" w:color="auto"/>
          </w:divBdr>
        </w:div>
        <w:div w:id="76631052">
          <w:marLeft w:val="0"/>
          <w:marRight w:val="0"/>
          <w:marTop w:val="0"/>
          <w:marBottom w:val="0"/>
          <w:divBdr>
            <w:top w:val="none" w:sz="0" w:space="0" w:color="auto"/>
            <w:left w:val="none" w:sz="0" w:space="0" w:color="auto"/>
            <w:bottom w:val="none" w:sz="0" w:space="0" w:color="auto"/>
            <w:right w:val="none" w:sz="0" w:space="0" w:color="auto"/>
          </w:divBdr>
        </w:div>
        <w:div w:id="222567825">
          <w:marLeft w:val="0"/>
          <w:marRight w:val="0"/>
          <w:marTop w:val="0"/>
          <w:marBottom w:val="0"/>
          <w:divBdr>
            <w:top w:val="none" w:sz="0" w:space="0" w:color="auto"/>
            <w:left w:val="none" w:sz="0" w:space="0" w:color="auto"/>
            <w:bottom w:val="none" w:sz="0" w:space="0" w:color="auto"/>
            <w:right w:val="none" w:sz="0" w:space="0" w:color="auto"/>
          </w:divBdr>
        </w:div>
        <w:div w:id="278411218">
          <w:marLeft w:val="0"/>
          <w:marRight w:val="0"/>
          <w:marTop w:val="0"/>
          <w:marBottom w:val="0"/>
          <w:divBdr>
            <w:top w:val="none" w:sz="0" w:space="0" w:color="auto"/>
            <w:left w:val="none" w:sz="0" w:space="0" w:color="auto"/>
            <w:bottom w:val="none" w:sz="0" w:space="0" w:color="auto"/>
            <w:right w:val="none" w:sz="0" w:space="0" w:color="auto"/>
          </w:divBdr>
        </w:div>
        <w:div w:id="916595538">
          <w:marLeft w:val="0"/>
          <w:marRight w:val="0"/>
          <w:marTop w:val="0"/>
          <w:marBottom w:val="0"/>
          <w:divBdr>
            <w:top w:val="none" w:sz="0" w:space="0" w:color="auto"/>
            <w:left w:val="none" w:sz="0" w:space="0" w:color="auto"/>
            <w:bottom w:val="none" w:sz="0" w:space="0" w:color="auto"/>
            <w:right w:val="none" w:sz="0" w:space="0" w:color="auto"/>
          </w:divBdr>
        </w:div>
        <w:div w:id="1208450945">
          <w:marLeft w:val="0"/>
          <w:marRight w:val="0"/>
          <w:marTop w:val="0"/>
          <w:marBottom w:val="0"/>
          <w:divBdr>
            <w:top w:val="none" w:sz="0" w:space="0" w:color="auto"/>
            <w:left w:val="none" w:sz="0" w:space="0" w:color="auto"/>
            <w:bottom w:val="none" w:sz="0" w:space="0" w:color="auto"/>
            <w:right w:val="none" w:sz="0" w:space="0" w:color="auto"/>
          </w:divBdr>
        </w:div>
        <w:div w:id="1521747355">
          <w:marLeft w:val="0"/>
          <w:marRight w:val="0"/>
          <w:marTop w:val="0"/>
          <w:marBottom w:val="0"/>
          <w:divBdr>
            <w:top w:val="none" w:sz="0" w:space="0" w:color="auto"/>
            <w:left w:val="none" w:sz="0" w:space="0" w:color="auto"/>
            <w:bottom w:val="none" w:sz="0" w:space="0" w:color="auto"/>
            <w:right w:val="none" w:sz="0" w:space="0" w:color="auto"/>
          </w:divBdr>
        </w:div>
        <w:div w:id="1955944395">
          <w:marLeft w:val="0"/>
          <w:marRight w:val="0"/>
          <w:marTop w:val="0"/>
          <w:marBottom w:val="0"/>
          <w:divBdr>
            <w:top w:val="none" w:sz="0" w:space="0" w:color="auto"/>
            <w:left w:val="none" w:sz="0" w:space="0" w:color="auto"/>
            <w:bottom w:val="none" w:sz="0" w:space="0" w:color="auto"/>
            <w:right w:val="none" w:sz="0" w:space="0" w:color="auto"/>
          </w:divBdr>
        </w:div>
      </w:divsChild>
    </w:div>
    <w:div w:id="486551884">
      <w:bodyDiv w:val="1"/>
      <w:marLeft w:val="0"/>
      <w:marRight w:val="0"/>
      <w:marTop w:val="0"/>
      <w:marBottom w:val="0"/>
      <w:divBdr>
        <w:top w:val="none" w:sz="0" w:space="0" w:color="auto"/>
        <w:left w:val="none" w:sz="0" w:space="0" w:color="auto"/>
        <w:bottom w:val="none" w:sz="0" w:space="0" w:color="auto"/>
        <w:right w:val="none" w:sz="0" w:space="0" w:color="auto"/>
      </w:divBdr>
    </w:div>
    <w:div w:id="572663142">
      <w:bodyDiv w:val="1"/>
      <w:marLeft w:val="0"/>
      <w:marRight w:val="0"/>
      <w:marTop w:val="0"/>
      <w:marBottom w:val="0"/>
      <w:divBdr>
        <w:top w:val="none" w:sz="0" w:space="0" w:color="auto"/>
        <w:left w:val="none" w:sz="0" w:space="0" w:color="auto"/>
        <w:bottom w:val="none" w:sz="0" w:space="0" w:color="auto"/>
        <w:right w:val="none" w:sz="0" w:space="0" w:color="auto"/>
      </w:divBdr>
    </w:div>
    <w:div w:id="600451222">
      <w:bodyDiv w:val="1"/>
      <w:marLeft w:val="0"/>
      <w:marRight w:val="0"/>
      <w:marTop w:val="0"/>
      <w:marBottom w:val="0"/>
      <w:divBdr>
        <w:top w:val="none" w:sz="0" w:space="0" w:color="auto"/>
        <w:left w:val="none" w:sz="0" w:space="0" w:color="auto"/>
        <w:bottom w:val="none" w:sz="0" w:space="0" w:color="auto"/>
        <w:right w:val="none" w:sz="0" w:space="0" w:color="auto"/>
      </w:divBdr>
    </w:div>
    <w:div w:id="718088409">
      <w:bodyDiv w:val="1"/>
      <w:marLeft w:val="0"/>
      <w:marRight w:val="0"/>
      <w:marTop w:val="0"/>
      <w:marBottom w:val="0"/>
      <w:divBdr>
        <w:top w:val="none" w:sz="0" w:space="0" w:color="auto"/>
        <w:left w:val="none" w:sz="0" w:space="0" w:color="auto"/>
        <w:bottom w:val="none" w:sz="0" w:space="0" w:color="auto"/>
        <w:right w:val="none" w:sz="0" w:space="0" w:color="auto"/>
      </w:divBdr>
    </w:div>
    <w:div w:id="773936332">
      <w:bodyDiv w:val="1"/>
      <w:marLeft w:val="0"/>
      <w:marRight w:val="0"/>
      <w:marTop w:val="0"/>
      <w:marBottom w:val="0"/>
      <w:divBdr>
        <w:top w:val="none" w:sz="0" w:space="0" w:color="auto"/>
        <w:left w:val="none" w:sz="0" w:space="0" w:color="auto"/>
        <w:bottom w:val="none" w:sz="0" w:space="0" w:color="auto"/>
        <w:right w:val="none" w:sz="0" w:space="0" w:color="auto"/>
      </w:divBdr>
    </w:div>
    <w:div w:id="777022119">
      <w:bodyDiv w:val="1"/>
      <w:marLeft w:val="0"/>
      <w:marRight w:val="0"/>
      <w:marTop w:val="0"/>
      <w:marBottom w:val="0"/>
      <w:divBdr>
        <w:top w:val="none" w:sz="0" w:space="0" w:color="auto"/>
        <w:left w:val="none" w:sz="0" w:space="0" w:color="auto"/>
        <w:bottom w:val="none" w:sz="0" w:space="0" w:color="auto"/>
        <w:right w:val="none" w:sz="0" w:space="0" w:color="auto"/>
      </w:divBdr>
    </w:div>
    <w:div w:id="788860118">
      <w:bodyDiv w:val="1"/>
      <w:marLeft w:val="0"/>
      <w:marRight w:val="0"/>
      <w:marTop w:val="0"/>
      <w:marBottom w:val="0"/>
      <w:divBdr>
        <w:top w:val="none" w:sz="0" w:space="0" w:color="auto"/>
        <w:left w:val="none" w:sz="0" w:space="0" w:color="auto"/>
        <w:bottom w:val="none" w:sz="0" w:space="0" w:color="auto"/>
        <w:right w:val="none" w:sz="0" w:space="0" w:color="auto"/>
      </w:divBdr>
    </w:div>
    <w:div w:id="805242730">
      <w:bodyDiv w:val="1"/>
      <w:marLeft w:val="0"/>
      <w:marRight w:val="0"/>
      <w:marTop w:val="0"/>
      <w:marBottom w:val="0"/>
      <w:divBdr>
        <w:top w:val="none" w:sz="0" w:space="0" w:color="auto"/>
        <w:left w:val="none" w:sz="0" w:space="0" w:color="auto"/>
        <w:bottom w:val="none" w:sz="0" w:space="0" w:color="auto"/>
        <w:right w:val="none" w:sz="0" w:space="0" w:color="auto"/>
      </w:divBdr>
    </w:div>
    <w:div w:id="818569975">
      <w:bodyDiv w:val="1"/>
      <w:marLeft w:val="0"/>
      <w:marRight w:val="0"/>
      <w:marTop w:val="0"/>
      <w:marBottom w:val="0"/>
      <w:divBdr>
        <w:top w:val="none" w:sz="0" w:space="0" w:color="auto"/>
        <w:left w:val="none" w:sz="0" w:space="0" w:color="auto"/>
        <w:bottom w:val="none" w:sz="0" w:space="0" w:color="auto"/>
        <w:right w:val="none" w:sz="0" w:space="0" w:color="auto"/>
      </w:divBdr>
    </w:div>
    <w:div w:id="825508568">
      <w:bodyDiv w:val="1"/>
      <w:marLeft w:val="0"/>
      <w:marRight w:val="0"/>
      <w:marTop w:val="0"/>
      <w:marBottom w:val="0"/>
      <w:divBdr>
        <w:top w:val="none" w:sz="0" w:space="0" w:color="auto"/>
        <w:left w:val="none" w:sz="0" w:space="0" w:color="auto"/>
        <w:bottom w:val="none" w:sz="0" w:space="0" w:color="auto"/>
        <w:right w:val="none" w:sz="0" w:space="0" w:color="auto"/>
      </w:divBdr>
    </w:div>
    <w:div w:id="864754301">
      <w:bodyDiv w:val="1"/>
      <w:marLeft w:val="0"/>
      <w:marRight w:val="0"/>
      <w:marTop w:val="0"/>
      <w:marBottom w:val="0"/>
      <w:divBdr>
        <w:top w:val="none" w:sz="0" w:space="0" w:color="auto"/>
        <w:left w:val="none" w:sz="0" w:space="0" w:color="auto"/>
        <w:bottom w:val="none" w:sz="0" w:space="0" w:color="auto"/>
        <w:right w:val="none" w:sz="0" w:space="0" w:color="auto"/>
      </w:divBdr>
    </w:div>
    <w:div w:id="888958658">
      <w:bodyDiv w:val="1"/>
      <w:marLeft w:val="0"/>
      <w:marRight w:val="0"/>
      <w:marTop w:val="0"/>
      <w:marBottom w:val="0"/>
      <w:divBdr>
        <w:top w:val="none" w:sz="0" w:space="0" w:color="auto"/>
        <w:left w:val="none" w:sz="0" w:space="0" w:color="auto"/>
        <w:bottom w:val="none" w:sz="0" w:space="0" w:color="auto"/>
        <w:right w:val="none" w:sz="0" w:space="0" w:color="auto"/>
      </w:divBdr>
    </w:div>
    <w:div w:id="895361153">
      <w:bodyDiv w:val="1"/>
      <w:marLeft w:val="0"/>
      <w:marRight w:val="0"/>
      <w:marTop w:val="0"/>
      <w:marBottom w:val="0"/>
      <w:divBdr>
        <w:top w:val="none" w:sz="0" w:space="0" w:color="auto"/>
        <w:left w:val="none" w:sz="0" w:space="0" w:color="auto"/>
        <w:bottom w:val="none" w:sz="0" w:space="0" w:color="auto"/>
        <w:right w:val="none" w:sz="0" w:space="0" w:color="auto"/>
      </w:divBdr>
    </w:div>
    <w:div w:id="897325132">
      <w:bodyDiv w:val="1"/>
      <w:marLeft w:val="0"/>
      <w:marRight w:val="0"/>
      <w:marTop w:val="0"/>
      <w:marBottom w:val="0"/>
      <w:divBdr>
        <w:top w:val="none" w:sz="0" w:space="0" w:color="auto"/>
        <w:left w:val="none" w:sz="0" w:space="0" w:color="auto"/>
        <w:bottom w:val="none" w:sz="0" w:space="0" w:color="auto"/>
        <w:right w:val="none" w:sz="0" w:space="0" w:color="auto"/>
      </w:divBdr>
    </w:div>
    <w:div w:id="903611952">
      <w:bodyDiv w:val="1"/>
      <w:marLeft w:val="0"/>
      <w:marRight w:val="0"/>
      <w:marTop w:val="0"/>
      <w:marBottom w:val="0"/>
      <w:divBdr>
        <w:top w:val="none" w:sz="0" w:space="0" w:color="auto"/>
        <w:left w:val="none" w:sz="0" w:space="0" w:color="auto"/>
        <w:bottom w:val="none" w:sz="0" w:space="0" w:color="auto"/>
        <w:right w:val="none" w:sz="0" w:space="0" w:color="auto"/>
      </w:divBdr>
    </w:div>
    <w:div w:id="920719366">
      <w:bodyDiv w:val="1"/>
      <w:marLeft w:val="0"/>
      <w:marRight w:val="0"/>
      <w:marTop w:val="0"/>
      <w:marBottom w:val="0"/>
      <w:divBdr>
        <w:top w:val="none" w:sz="0" w:space="0" w:color="auto"/>
        <w:left w:val="none" w:sz="0" w:space="0" w:color="auto"/>
        <w:bottom w:val="none" w:sz="0" w:space="0" w:color="auto"/>
        <w:right w:val="none" w:sz="0" w:space="0" w:color="auto"/>
      </w:divBdr>
    </w:div>
    <w:div w:id="952323894">
      <w:bodyDiv w:val="1"/>
      <w:marLeft w:val="0"/>
      <w:marRight w:val="0"/>
      <w:marTop w:val="0"/>
      <w:marBottom w:val="0"/>
      <w:divBdr>
        <w:top w:val="none" w:sz="0" w:space="0" w:color="auto"/>
        <w:left w:val="none" w:sz="0" w:space="0" w:color="auto"/>
        <w:bottom w:val="none" w:sz="0" w:space="0" w:color="auto"/>
        <w:right w:val="none" w:sz="0" w:space="0" w:color="auto"/>
      </w:divBdr>
    </w:div>
    <w:div w:id="1070351549">
      <w:bodyDiv w:val="1"/>
      <w:marLeft w:val="0"/>
      <w:marRight w:val="0"/>
      <w:marTop w:val="0"/>
      <w:marBottom w:val="0"/>
      <w:divBdr>
        <w:top w:val="none" w:sz="0" w:space="0" w:color="auto"/>
        <w:left w:val="none" w:sz="0" w:space="0" w:color="auto"/>
        <w:bottom w:val="none" w:sz="0" w:space="0" w:color="auto"/>
        <w:right w:val="none" w:sz="0" w:space="0" w:color="auto"/>
      </w:divBdr>
      <w:divsChild>
        <w:div w:id="260649124">
          <w:marLeft w:val="0"/>
          <w:marRight w:val="0"/>
          <w:marTop w:val="0"/>
          <w:marBottom w:val="0"/>
          <w:divBdr>
            <w:top w:val="none" w:sz="0" w:space="0" w:color="auto"/>
            <w:left w:val="none" w:sz="0" w:space="0" w:color="auto"/>
            <w:bottom w:val="none" w:sz="0" w:space="0" w:color="auto"/>
            <w:right w:val="none" w:sz="0" w:space="0" w:color="auto"/>
          </w:divBdr>
        </w:div>
        <w:div w:id="390420248">
          <w:marLeft w:val="0"/>
          <w:marRight w:val="0"/>
          <w:marTop w:val="0"/>
          <w:marBottom w:val="0"/>
          <w:divBdr>
            <w:top w:val="none" w:sz="0" w:space="0" w:color="auto"/>
            <w:left w:val="none" w:sz="0" w:space="0" w:color="auto"/>
            <w:bottom w:val="none" w:sz="0" w:space="0" w:color="auto"/>
            <w:right w:val="none" w:sz="0" w:space="0" w:color="auto"/>
          </w:divBdr>
        </w:div>
        <w:div w:id="461072513">
          <w:marLeft w:val="0"/>
          <w:marRight w:val="0"/>
          <w:marTop w:val="0"/>
          <w:marBottom w:val="0"/>
          <w:divBdr>
            <w:top w:val="none" w:sz="0" w:space="0" w:color="auto"/>
            <w:left w:val="none" w:sz="0" w:space="0" w:color="auto"/>
            <w:bottom w:val="none" w:sz="0" w:space="0" w:color="auto"/>
            <w:right w:val="none" w:sz="0" w:space="0" w:color="auto"/>
          </w:divBdr>
        </w:div>
        <w:div w:id="1357000789">
          <w:marLeft w:val="0"/>
          <w:marRight w:val="0"/>
          <w:marTop w:val="0"/>
          <w:marBottom w:val="0"/>
          <w:divBdr>
            <w:top w:val="none" w:sz="0" w:space="0" w:color="auto"/>
            <w:left w:val="none" w:sz="0" w:space="0" w:color="auto"/>
            <w:bottom w:val="none" w:sz="0" w:space="0" w:color="auto"/>
            <w:right w:val="none" w:sz="0" w:space="0" w:color="auto"/>
          </w:divBdr>
        </w:div>
        <w:div w:id="1684550339">
          <w:marLeft w:val="0"/>
          <w:marRight w:val="0"/>
          <w:marTop w:val="0"/>
          <w:marBottom w:val="0"/>
          <w:divBdr>
            <w:top w:val="none" w:sz="0" w:space="0" w:color="auto"/>
            <w:left w:val="none" w:sz="0" w:space="0" w:color="auto"/>
            <w:bottom w:val="none" w:sz="0" w:space="0" w:color="auto"/>
            <w:right w:val="none" w:sz="0" w:space="0" w:color="auto"/>
          </w:divBdr>
        </w:div>
        <w:div w:id="1876116982">
          <w:marLeft w:val="0"/>
          <w:marRight w:val="0"/>
          <w:marTop w:val="0"/>
          <w:marBottom w:val="0"/>
          <w:divBdr>
            <w:top w:val="none" w:sz="0" w:space="0" w:color="auto"/>
            <w:left w:val="none" w:sz="0" w:space="0" w:color="auto"/>
            <w:bottom w:val="none" w:sz="0" w:space="0" w:color="auto"/>
            <w:right w:val="none" w:sz="0" w:space="0" w:color="auto"/>
          </w:divBdr>
        </w:div>
      </w:divsChild>
    </w:div>
    <w:div w:id="1128668233">
      <w:bodyDiv w:val="1"/>
      <w:marLeft w:val="0"/>
      <w:marRight w:val="0"/>
      <w:marTop w:val="0"/>
      <w:marBottom w:val="0"/>
      <w:divBdr>
        <w:top w:val="none" w:sz="0" w:space="0" w:color="auto"/>
        <w:left w:val="none" w:sz="0" w:space="0" w:color="auto"/>
        <w:bottom w:val="none" w:sz="0" w:space="0" w:color="auto"/>
        <w:right w:val="none" w:sz="0" w:space="0" w:color="auto"/>
      </w:divBdr>
    </w:div>
    <w:div w:id="1135416107">
      <w:bodyDiv w:val="1"/>
      <w:marLeft w:val="0"/>
      <w:marRight w:val="0"/>
      <w:marTop w:val="0"/>
      <w:marBottom w:val="0"/>
      <w:divBdr>
        <w:top w:val="none" w:sz="0" w:space="0" w:color="auto"/>
        <w:left w:val="none" w:sz="0" w:space="0" w:color="auto"/>
        <w:bottom w:val="none" w:sz="0" w:space="0" w:color="auto"/>
        <w:right w:val="none" w:sz="0" w:space="0" w:color="auto"/>
      </w:divBdr>
    </w:div>
    <w:div w:id="1150365686">
      <w:bodyDiv w:val="1"/>
      <w:marLeft w:val="0"/>
      <w:marRight w:val="0"/>
      <w:marTop w:val="0"/>
      <w:marBottom w:val="0"/>
      <w:divBdr>
        <w:top w:val="none" w:sz="0" w:space="0" w:color="auto"/>
        <w:left w:val="none" w:sz="0" w:space="0" w:color="auto"/>
        <w:bottom w:val="none" w:sz="0" w:space="0" w:color="auto"/>
        <w:right w:val="none" w:sz="0" w:space="0" w:color="auto"/>
      </w:divBdr>
    </w:div>
    <w:div w:id="1210873880">
      <w:bodyDiv w:val="1"/>
      <w:marLeft w:val="0"/>
      <w:marRight w:val="0"/>
      <w:marTop w:val="0"/>
      <w:marBottom w:val="0"/>
      <w:divBdr>
        <w:top w:val="none" w:sz="0" w:space="0" w:color="auto"/>
        <w:left w:val="none" w:sz="0" w:space="0" w:color="auto"/>
        <w:bottom w:val="none" w:sz="0" w:space="0" w:color="auto"/>
        <w:right w:val="none" w:sz="0" w:space="0" w:color="auto"/>
      </w:divBdr>
    </w:div>
    <w:div w:id="1235704811">
      <w:bodyDiv w:val="1"/>
      <w:marLeft w:val="0"/>
      <w:marRight w:val="0"/>
      <w:marTop w:val="0"/>
      <w:marBottom w:val="0"/>
      <w:divBdr>
        <w:top w:val="none" w:sz="0" w:space="0" w:color="auto"/>
        <w:left w:val="none" w:sz="0" w:space="0" w:color="auto"/>
        <w:bottom w:val="none" w:sz="0" w:space="0" w:color="auto"/>
        <w:right w:val="none" w:sz="0" w:space="0" w:color="auto"/>
      </w:divBdr>
      <w:divsChild>
        <w:div w:id="220218327">
          <w:marLeft w:val="0"/>
          <w:marRight w:val="0"/>
          <w:marTop w:val="0"/>
          <w:marBottom w:val="0"/>
          <w:divBdr>
            <w:top w:val="none" w:sz="0" w:space="0" w:color="auto"/>
            <w:left w:val="none" w:sz="0" w:space="0" w:color="auto"/>
            <w:bottom w:val="none" w:sz="0" w:space="0" w:color="auto"/>
            <w:right w:val="none" w:sz="0" w:space="0" w:color="auto"/>
          </w:divBdr>
        </w:div>
        <w:div w:id="321011307">
          <w:marLeft w:val="0"/>
          <w:marRight w:val="0"/>
          <w:marTop w:val="0"/>
          <w:marBottom w:val="0"/>
          <w:divBdr>
            <w:top w:val="none" w:sz="0" w:space="0" w:color="auto"/>
            <w:left w:val="none" w:sz="0" w:space="0" w:color="auto"/>
            <w:bottom w:val="none" w:sz="0" w:space="0" w:color="auto"/>
            <w:right w:val="none" w:sz="0" w:space="0" w:color="auto"/>
          </w:divBdr>
        </w:div>
        <w:div w:id="473916687">
          <w:marLeft w:val="0"/>
          <w:marRight w:val="0"/>
          <w:marTop w:val="0"/>
          <w:marBottom w:val="0"/>
          <w:divBdr>
            <w:top w:val="none" w:sz="0" w:space="0" w:color="auto"/>
            <w:left w:val="none" w:sz="0" w:space="0" w:color="auto"/>
            <w:bottom w:val="none" w:sz="0" w:space="0" w:color="auto"/>
            <w:right w:val="none" w:sz="0" w:space="0" w:color="auto"/>
          </w:divBdr>
        </w:div>
        <w:div w:id="641038456">
          <w:marLeft w:val="0"/>
          <w:marRight w:val="0"/>
          <w:marTop w:val="0"/>
          <w:marBottom w:val="0"/>
          <w:divBdr>
            <w:top w:val="none" w:sz="0" w:space="0" w:color="auto"/>
            <w:left w:val="none" w:sz="0" w:space="0" w:color="auto"/>
            <w:bottom w:val="none" w:sz="0" w:space="0" w:color="auto"/>
            <w:right w:val="none" w:sz="0" w:space="0" w:color="auto"/>
          </w:divBdr>
        </w:div>
        <w:div w:id="1010833302">
          <w:marLeft w:val="0"/>
          <w:marRight w:val="0"/>
          <w:marTop w:val="0"/>
          <w:marBottom w:val="0"/>
          <w:divBdr>
            <w:top w:val="none" w:sz="0" w:space="0" w:color="auto"/>
            <w:left w:val="none" w:sz="0" w:space="0" w:color="auto"/>
            <w:bottom w:val="none" w:sz="0" w:space="0" w:color="auto"/>
            <w:right w:val="none" w:sz="0" w:space="0" w:color="auto"/>
          </w:divBdr>
        </w:div>
        <w:div w:id="1833371763">
          <w:marLeft w:val="0"/>
          <w:marRight w:val="0"/>
          <w:marTop w:val="0"/>
          <w:marBottom w:val="0"/>
          <w:divBdr>
            <w:top w:val="none" w:sz="0" w:space="0" w:color="auto"/>
            <w:left w:val="none" w:sz="0" w:space="0" w:color="auto"/>
            <w:bottom w:val="none" w:sz="0" w:space="0" w:color="auto"/>
            <w:right w:val="none" w:sz="0" w:space="0" w:color="auto"/>
          </w:divBdr>
        </w:div>
      </w:divsChild>
    </w:div>
    <w:div w:id="1239439727">
      <w:bodyDiv w:val="1"/>
      <w:marLeft w:val="0"/>
      <w:marRight w:val="0"/>
      <w:marTop w:val="0"/>
      <w:marBottom w:val="0"/>
      <w:divBdr>
        <w:top w:val="none" w:sz="0" w:space="0" w:color="auto"/>
        <w:left w:val="none" w:sz="0" w:space="0" w:color="auto"/>
        <w:bottom w:val="none" w:sz="0" w:space="0" w:color="auto"/>
        <w:right w:val="none" w:sz="0" w:space="0" w:color="auto"/>
      </w:divBdr>
    </w:div>
    <w:div w:id="1245409143">
      <w:bodyDiv w:val="1"/>
      <w:marLeft w:val="0"/>
      <w:marRight w:val="0"/>
      <w:marTop w:val="0"/>
      <w:marBottom w:val="0"/>
      <w:divBdr>
        <w:top w:val="none" w:sz="0" w:space="0" w:color="auto"/>
        <w:left w:val="none" w:sz="0" w:space="0" w:color="auto"/>
        <w:bottom w:val="none" w:sz="0" w:space="0" w:color="auto"/>
        <w:right w:val="none" w:sz="0" w:space="0" w:color="auto"/>
      </w:divBdr>
    </w:div>
    <w:div w:id="1249656713">
      <w:bodyDiv w:val="1"/>
      <w:marLeft w:val="0"/>
      <w:marRight w:val="0"/>
      <w:marTop w:val="0"/>
      <w:marBottom w:val="0"/>
      <w:divBdr>
        <w:top w:val="none" w:sz="0" w:space="0" w:color="auto"/>
        <w:left w:val="none" w:sz="0" w:space="0" w:color="auto"/>
        <w:bottom w:val="none" w:sz="0" w:space="0" w:color="auto"/>
        <w:right w:val="none" w:sz="0" w:space="0" w:color="auto"/>
      </w:divBdr>
    </w:div>
    <w:div w:id="1251238662">
      <w:bodyDiv w:val="1"/>
      <w:marLeft w:val="0"/>
      <w:marRight w:val="0"/>
      <w:marTop w:val="0"/>
      <w:marBottom w:val="0"/>
      <w:divBdr>
        <w:top w:val="none" w:sz="0" w:space="0" w:color="auto"/>
        <w:left w:val="none" w:sz="0" w:space="0" w:color="auto"/>
        <w:bottom w:val="none" w:sz="0" w:space="0" w:color="auto"/>
        <w:right w:val="none" w:sz="0" w:space="0" w:color="auto"/>
      </w:divBdr>
      <w:divsChild>
        <w:div w:id="187526311">
          <w:marLeft w:val="0"/>
          <w:marRight w:val="0"/>
          <w:marTop w:val="0"/>
          <w:marBottom w:val="0"/>
          <w:divBdr>
            <w:top w:val="none" w:sz="0" w:space="0" w:color="auto"/>
            <w:left w:val="none" w:sz="0" w:space="0" w:color="auto"/>
            <w:bottom w:val="none" w:sz="0" w:space="0" w:color="auto"/>
            <w:right w:val="none" w:sz="0" w:space="0" w:color="auto"/>
          </w:divBdr>
        </w:div>
        <w:div w:id="377632633">
          <w:marLeft w:val="0"/>
          <w:marRight w:val="0"/>
          <w:marTop w:val="0"/>
          <w:marBottom w:val="0"/>
          <w:divBdr>
            <w:top w:val="none" w:sz="0" w:space="0" w:color="auto"/>
            <w:left w:val="none" w:sz="0" w:space="0" w:color="auto"/>
            <w:bottom w:val="none" w:sz="0" w:space="0" w:color="auto"/>
            <w:right w:val="none" w:sz="0" w:space="0" w:color="auto"/>
          </w:divBdr>
        </w:div>
        <w:div w:id="719401218">
          <w:marLeft w:val="0"/>
          <w:marRight w:val="0"/>
          <w:marTop w:val="0"/>
          <w:marBottom w:val="0"/>
          <w:divBdr>
            <w:top w:val="none" w:sz="0" w:space="0" w:color="auto"/>
            <w:left w:val="none" w:sz="0" w:space="0" w:color="auto"/>
            <w:bottom w:val="none" w:sz="0" w:space="0" w:color="auto"/>
            <w:right w:val="none" w:sz="0" w:space="0" w:color="auto"/>
          </w:divBdr>
        </w:div>
        <w:div w:id="903417819">
          <w:marLeft w:val="0"/>
          <w:marRight w:val="0"/>
          <w:marTop w:val="0"/>
          <w:marBottom w:val="0"/>
          <w:divBdr>
            <w:top w:val="none" w:sz="0" w:space="0" w:color="auto"/>
            <w:left w:val="none" w:sz="0" w:space="0" w:color="auto"/>
            <w:bottom w:val="none" w:sz="0" w:space="0" w:color="auto"/>
            <w:right w:val="none" w:sz="0" w:space="0" w:color="auto"/>
          </w:divBdr>
        </w:div>
        <w:div w:id="992026747">
          <w:marLeft w:val="0"/>
          <w:marRight w:val="0"/>
          <w:marTop w:val="0"/>
          <w:marBottom w:val="0"/>
          <w:divBdr>
            <w:top w:val="none" w:sz="0" w:space="0" w:color="auto"/>
            <w:left w:val="none" w:sz="0" w:space="0" w:color="auto"/>
            <w:bottom w:val="none" w:sz="0" w:space="0" w:color="auto"/>
            <w:right w:val="none" w:sz="0" w:space="0" w:color="auto"/>
          </w:divBdr>
        </w:div>
        <w:div w:id="1085955029">
          <w:marLeft w:val="0"/>
          <w:marRight w:val="0"/>
          <w:marTop w:val="0"/>
          <w:marBottom w:val="0"/>
          <w:divBdr>
            <w:top w:val="none" w:sz="0" w:space="0" w:color="auto"/>
            <w:left w:val="none" w:sz="0" w:space="0" w:color="auto"/>
            <w:bottom w:val="none" w:sz="0" w:space="0" w:color="auto"/>
            <w:right w:val="none" w:sz="0" w:space="0" w:color="auto"/>
          </w:divBdr>
        </w:div>
        <w:div w:id="1102648833">
          <w:marLeft w:val="0"/>
          <w:marRight w:val="0"/>
          <w:marTop w:val="0"/>
          <w:marBottom w:val="0"/>
          <w:divBdr>
            <w:top w:val="none" w:sz="0" w:space="0" w:color="auto"/>
            <w:left w:val="none" w:sz="0" w:space="0" w:color="auto"/>
            <w:bottom w:val="none" w:sz="0" w:space="0" w:color="auto"/>
            <w:right w:val="none" w:sz="0" w:space="0" w:color="auto"/>
          </w:divBdr>
        </w:div>
        <w:div w:id="1603144649">
          <w:marLeft w:val="0"/>
          <w:marRight w:val="0"/>
          <w:marTop w:val="0"/>
          <w:marBottom w:val="0"/>
          <w:divBdr>
            <w:top w:val="none" w:sz="0" w:space="0" w:color="auto"/>
            <w:left w:val="none" w:sz="0" w:space="0" w:color="auto"/>
            <w:bottom w:val="none" w:sz="0" w:space="0" w:color="auto"/>
            <w:right w:val="none" w:sz="0" w:space="0" w:color="auto"/>
          </w:divBdr>
        </w:div>
        <w:div w:id="1773278310">
          <w:marLeft w:val="0"/>
          <w:marRight w:val="0"/>
          <w:marTop w:val="0"/>
          <w:marBottom w:val="0"/>
          <w:divBdr>
            <w:top w:val="none" w:sz="0" w:space="0" w:color="auto"/>
            <w:left w:val="none" w:sz="0" w:space="0" w:color="auto"/>
            <w:bottom w:val="none" w:sz="0" w:space="0" w:color="auto"/>
            <w:right w:val="none" w:sz="0" w:space="0" w:color="auto"/>
          </w:divBdr>
        </w:div>
      </w:divsChild>
    </w:div>
    <w:div w:id="1256863497">
      <w:bodyDiv w:val="1"/>
      <w:marLeft w:val="0"/>
      <w:marRight w:val="0"/>
      <w:marTop w:val="0"/>
      <w:marBottom w:val="0"/>
      <w:divBdr>
        <w:top w:val="none" w:sz="0" w:space="0" w:color="auto"/>
        <w:left w:val="none" w:sz="0" w:space="0" w:color="auto"/>
        <w:bottom w:val="none" w:sz="0" w:space="0" w:color="auto"/>
        <w:right w:val="none" w:sz="0" w:space="0" w:color="auto"/>
      </w:divBdr>
    </w:div>
    <w:div w:id="1276450714">
      <w:bodyDiv w:val="1"/>
      <w:marLeft w:val="0"/>
      <w:marRight w:val="0"/>
      <w:marTop w:val="0"/>
      <w:marBottom w:val="0"/>
      <w:divBdr>
        <w:top w:val="none" w:sz="0" w:space="0" w:color="auto"/>
        <w:left w:val="none" w:sz="0" w:space="0" w:color="auto"/>
        <w:bottom w:val="none" w:sz="0" w:space="0" w:color="auto"/>
        <w:right w:val="none" w:sz="0" w:space="0" w:color="auto"/>
      </w:divBdr>
    </w:div>
    <w:div w:id="1288900244">
      <w:bodyDiv w:val="1"/>
      <w:marLeft w:val="0"/>
      <w:marRight w:val="0"/>
      <w:marTop w:val="0"/>
      <w:marBottom w:val="0"/>
      <w:divBdr>
        <w:top w:val="none" w:sz="0" w:space="0" w:color="auto"/>
        <w:left w:val="none" w:sz="0" w:space="0" w:color="auto"/>
        <w:bottom w:val="none" w:sz="0" w:space="0" w:color="auto"/>
        <w:right w:val="none" w:sz="0" w:space="0" w:color="auto"/>
      </w:divBdr>
    </w:div>
    <w:div w:id="1302539946">
      <w:bodyDiv w:val="1"/>
      <w:marLeft w:val="0"/>
      <w:marRight w:val="0"/>
      <w:marTop w:val="0"/>
      <w:marBottom w:val="0"/>
      <w:divBdr>
        <w:top w:val="none" w:sz="0" w:space="0" w:color="auto"/>
        <w:left w:val="none" w:sz="0" w:space="0" w:color="auto"/>
        <w:bottom w:val="none" w:sz="0" w:space="0" w:color="auto"/>
        <w:right w:val="none" w:sz="0" w:space="0" w:color="auto"/>
      </w:divBdr>
      <w:divsChild>
        <w:div w:id="18288238">
          <w:marLeft w:val="0"/>
          <w:marRight w:val="0"/>
          <w:marTop w:val="0"/>
          <w:marBottom w:val="0"/>
          <w:divBdr>
            <w:top w:val="none" w:sz="0" w:space="0" w:color="auto"/>
            <w:left w:val="none" w:sz="0" w:space="0" w:color="auto"/>
            <w:bottom w:val="none" w:sz="0" w:space="0" w:color="auto"/>
            <w:right w:val="none" w:sz="0" w:space="0" w:color="auto"/>
          </w:divBdr>
        </w:div>
        <w:div w:id="177089533">
          <w:marLeft w:val="0"/>
          <w:marRight w:val="0"/>
          <w:marTop w:val="0"/>
          <w:marBottom w:val="0"/>
          <w:divBdr>
            <w:top w:val="none" w:sz="0" w:space="0" w:color="auto"/>
            <w:left w:val="none" w:sz="0" w:space="0" w:color="auto"/>
            <w:bottom w:val="none" w:sz="0" w:space="0" w:color="auto"/>
            <w:right w:val="none" w:sz="0" w:space="0" w:color="auto"/>
          </w:divBdr>
        </w:div>
        <w:div w:id="214781294">
          <w:marLeft w:val="0"/>
          <w:marRight w:val="0"/>
          <w:marTop w:val="0"/>
          <w:marBottom w:val="0"/>
          <w:divBdr>
            <w:top w:val="none" w:sz="0" w:space="0" w:color="auto"/>
            <w:left w:val="none" w:sz="0" w:space="0" w:color="auto"/>
            <w:bottom w:val="none" w:sz="0" w:space="0" w:color="auto"/>
            <w:right w:val="none" w:sz="0" w:space="0" w:color="auto"/>
          </w:divBdr>
        </w:div>
        <w:div w:id="270934634">
          <w:marLeft w:val="0"/>
          <w:marRight w:val="0"/>
          <w:marTop w:val="0"/>
          <w:marBottom w:val="0"/>
          <w:divBdr>
            <w:top w:val="none" w:sz="0" w:space="0" w:color="auto"/>
            <w:left w:val="none" w:sz="0" w:space="0" w:color="auto"/>
            <w:bottom w:val="none" w:sz="0" w:space="0" w:color="auto"/>
            <w:right w:val="none" w:sz="0" w:space="0" w:color="auto"/>
          </w:divBdr>
        </w:div>
        <w:div w:id="301036069">
          <w:marLeft w:val="0"/>
          <w:marRight w:val="0"/>
          <w:marTop w:val="0"/>
          <w:marBottom w:val="0"/>
          <w:divBdr>
            <w:top w:val="none" w:sz="0" w:space="0" w:color="auto"/>
            <w:left w:val="none" w:sz="0" w:space="0" w:color="auto"/>
            <w:bottom w:val="none" w:sz="0" w:space="0" w:color="auto"/>
            <w:right w:val="none" w:sz="0" w:space="0" w:color="auto"/>
          </w:divBdr>
        </w:div>
        <w:div w:id="409695098">
          <w:marLeft w:val="0"/>
          <w:marRight w:val="0"/>
          <w:marTop w:val="0"/>
          <w:marBottom w:val="0"/>
          <w:divBdr>
            <w:top w:val="none" w:sz="0" w:space="0" w:color="auto"/>
            <w:left w:val="none" w:sz="0" w:space="0" w:color="auto"/>
            <w:bottom w:val="none" w:sz="0" w:space="0" w:color="auto"/>
            <w:right w:val="none" w:sz="0" w:space="0" w:color="auto"/>
          </w:divBdr>
        </w:div>
        <w:div w:id="425538680">
          <w:marLeft w:val="0"/>
          <w:marRight w:val="0"/>
          <w:marTop w:val="0"/>
          <w:marBottom w:val="0"/>
          <w:divBdr>
            <w:top w:val="none" w:sz="0" w:space="0" w:color="auto"/>
            <w:left w:val="none" w:sz="0" w:space="0" w:color="auto"/>
            <w:bottom w:val="none" w:sz="0" w:space="0" w:color="auto"/>
            <w:right w:val="none" w:sz="0" w:space="0" w:color="auto"/>
          </w:divBdr>
        </w:div>
        <w:div w:id="553663670">
          <w:marLeft w:val="0"/>
          <w:marRight w:val="0"/>
          <w:marTop w:val="0"/>
          <w:marBottom w:val="0"/>
          <w:divBdr>
            <w:top w:val="none" w:sz="0" w:space="0" w:color="auto"/>
            <w:left w:val="none" w:sz="0" w:space="0" w:color="auto"/>
            <w:bottom w:val="none" w:sz="0" w:space="0" w:color="auto"/>
            <w:right w:val="none" w:sz="0" w:space="0" w:color="auto"/>
          </w:divBdr>
        </w:div>
        <w:div w:id="688408913">
          <w:marLeft w:val="0"/>
          <w:marRight w:val="0"/>
          <w:marTop w:val="0"/>
          <w:marBottom w:val="0"/>
          <w:divBdr>
            <w:top w:val="none" w:sz="0" w:space="0" w:color="auto"/>
            <w:left w:val="none" w:sz="0" w:space="0" w:color="auto"/>
            <w:bottom w:val="none" w:sz="0" w:space="0" w:color="auto"/>
            <w:right w:val="none" w:sz="0" w:space="0" w:color="auto"/>
          </w:divBdr>
        </w:div>
        <w:div w:id="737822365">
          <w:marLeft w:val="0"/>
          <w:marRight w:val="0"/>
          <w:marTop w:val="0"/>
          <w:marBottom w:val="0"/>
          <w:divBdr>
            <w:top w:val="none" w:sz="0" w:space="0" w:color="auto"/>
            <w:left w:val="none" w:sz="0" w:space="0" w:color="auto"/>
            <w:bottom w:val="none" w:sz="0" w:space="0" w:color="auto"/>
            <w:right w:val="none" w:sz="0" w:space="0" w:color="auto"/>
          </w:divBdr>
        </w:div>
        <w:div w:id="820730989">
          <w:marLeft w:val="0"/>
          <w:marRight w:val="0"/>
          <w:marTop w:val="0"/>
          <w:marBottom w:val="0"/>
          <w:divBdr>
            <w:top w:val="none" w:sz="0" w:space="0" w:color="auto"/>
            <w:left w:val="none" w:sz="0" w:space="0" w:color="auto"/>
            <w:bottom w:val="none" w:sz="0" w:space="0" w:color="auto"/>
            <w:right w:val="none" w:sz="0" w:space="0" w:color="auto"/>
          </w:divBdr>
        </w:div>
        <w:div w:id="897547481">
          <w:marLeft w:val="0"/>
          <w:marRight w:val="0"/>
          <w:marTop w:val="0"/>
          <w:marBottom w:val="0"/>
          <w:divBdr>
            <w:top w:val="none" w:sz="0" w:space="0" w:color="auto"/>
            <w:left w:val="none" w:sz="0" w:space="0" w:color="auto"/>
            <w:bottom w:val="none" w:sz="0" w:space="0" w:color="auto"/>
            <w:right w:val="none" w:sz="0" w:space="0" w:color="auto"/>
          </w:divBdr>
        </w:div>
        <w:div w:id="977877788">
          <w:marLeft w:val="0"/>
          <w:marRight w:val="0"/>
          <w:marTop w:val="0"/>
          <w:marBottom w:val="0"/>
          <w:divBdr>
            <w:top w:val="none" w:sz="0" w:space="0" w:color="auto"/>
            <w:left w:val="none" w:sz="0" w:space="0" w:color="auto"/>
            <w:bottom w:val="none" w:sz="0" w:space="0" w:color="auto"/>
            <w:right w:val="none" w:sz="0" w:space="0" w:color="auto"/>
          </w:divBdr>
        </w:div>
        <w:div w:id="1080521677">
          <w:marLeft w:val="0"/>
          <w:marRight w:val="0"/>
          <w:marTop w:val="0"/>
          <w:marBottom w:val="0"/>
          <w:divBdr>
            <w:top w:val="none" w:sz="0" w:space="0" w:color="auto"/>
            <w:left w:val="none" w:sz="0" w:space="0" w:color="auto"/>
            <w:bottom w:val="none" w:sz="0" w:space="0" w:color="auto"/>
            <w:right w:val="none" w:sz="0" w:space="0" w:color="auto"/>
          </w:divBdr>
        </w:div>
        <w:div w:id="1124352445">
          <w:marLeft w:val="0"/>
          <w:marRight w:val="0"/>
          <w:marTop w:val="0"/>
          <w:marBottom w:val="0"/>
          <w:divBdr>
            <w:top w:val="none" w:sz="0" w:space="0" w:color="auto"/>
            <w:left w:val="none" w:sz="0" w:space="0" w:color="auto"/>
            <w:bottom w:val="none" w:sz="0" w:space="0" w:color="auto"/>
            <w:right w:val="none" w:sz="0" w:space="0" w:color="auto"/>
          </w:divBdr>
        </w:div>
        <w:div w:id="1222212210">
          <w:marLeft w:val="0"/>
          <w:marRight w:val="0"/>
          <w:marTop w:val="0"/>
          <w:marBottom w:val="0"/>
          <w:divBdr>
            <w:top w:val="none" w:sz="0" w:space="0" w:color="auto"/>
            <w:left w:val="none" w:sz="0" w:space="0" w:color="auto"/>
            <w:bottom w:val="none" w:sz="0" w:space="0" w:color="auto"/>
            <w:right w:val="none" w:sz="0" w:space="0" w:color="auto"/>
          </w:divBdr>
        </w:div>
        <w:div w:id="1260139153">
          <w:marLeft w:val="0"/>
          <w:marRight w:val="0"/>
          <w:marTop w:val="0"/>
          <w:marBottom w:val="0"/>
          <w:divBdr>
            <w:top w:val="none" w:sz="0" w:space="0" w:color="auto"/>
            <w:left w:val="none" w:sz="0" w:space="0" w:color="auto"/>
            <w:bottom w:val="none" w:sz="0" w:space="0" w:color="auto"/>
            <w:right w:val="none" w:sz="0" w:space="0" w:color="auto"/>
          </w:divBdr>
        </w:div>
        <w:div w:id="1348827059">
          <w:marLeft w:val="0"/>
          <w:marRight w:val="0"/>
          <w:marTop w:val="0"/>
          <w:marBottom w:val="0"/>
          <w:divBdr>
            <w:top w:val="none" w:sz="0" w:space="0" w:color="auto"/>
            <w:left w:val="none" w:sz="0" w:space="0" w:color="auto"/>
            <w:bottom w:val="none" w:sz="0" w:space="0" w:color="auto"/>
            <w:right w:val="none" w:sz="0" w:space="0" w:color="auto"/>
          </w:divBdr>
        </w:div>
        <w:div w:id="1400248875">
          <w:marLeft w:val="0"/>
          <w:marRight w:val="0"/>
          <w:marTop w:val="0"/>
          <w:marBottom w:val="0"/>
          <w:divBdr>
            <w:top w:val="none" w:sz="0" w:space="0" w:color="auto"/>
            <w:left w:val="none" w:sz="0" w:space="0" w:color="auto"/>
            <w:bottom w:val="none" w:sz="0" w:space="0" w:color="auto"/>
            <w:right w:val="none" w:sz="0" w:space="0" w:color="auto"/>
          </w:divBdr>
        </w:div>
        <w:div w:id="1763989503">
          <w:marLeft w:val="0"/>
          <w:marRight w:val="0"/>
          <w:marTop w:val="0"/>
          <w:marBottom w:val="0"/>
          <w:divBdr>
            <w:top w:val="none" w:sz="0" w:space="0" w:color="auto"/>
            <w:left w:val="none" w:sz="0" w:space="0" w:color="auto"/>
            <w:bottom w:val="none" w:sz="0" w:space="0" w:color="auto"/>
            <w:right w:val="none" w:sz="0" w:space="0" w:color="auto"/>
          </w:divBdr>
        </w:div>
        <w:div w:id="1803890380">
          <w:marLeft w:val="0"/>
          <w:marRight w:val="0"/>
          <w:marTop w:val="0"/>
          <w:marBottom w:val="0"/>
          <w:divBdr>
            <w:top w:val="none" w:sz="0" w:space="0" w:color="auto"/>
            <w:left w:val="none" w:sz="0" w:space="0" w:color="auto"/>
            <w:bottom w:val="none" w:sz="0" w:space="0" w:color="auto"/>
            <w:right w:val="none" w:sz="0" w:space="0" w:color="auto"/>
          </w:divBdr>
        </w:div>
        <w:div w:id="1867788276">
          <w:marLeft w:val="0"/>
          <w:marRight w:val="0"/>
          <w:marTop w:val="0"/>
          <w:marBottom w:val="0"/>
          <w:divBdr>
            <w:top w:val="none" w:sz="0" w:space="0" w:color="auto"/>
            <w:left w:val="none" w:sz="0" w:space="0" w:color="auto"/>
            <w:bottom w:val="none" w:sz="0" w:space="0" w:color="auto"/>
            <w:right w:val="none" w:sz="0" w:space="0" w:color="auto"/>
          </w:divBdr>
        </w:div>
        <w:div w:id="2075614292">
          <w:marLeft w:val="0"/>
          <w:marRight w:val="0"/>
          <w:marTop w:val="0"/>
          <w:marBottom w:val="0"/>
          <w:divBdr>
            <w:top w:val="none" w:sz="0" w:space="0" w:color="auto"/>
            <w:left w:val="none" w:sz="0" w:space="0" w:color="auto"/>
            <w:bottom w:val="none" w:sz="0" w:space="0" w:color="auto"/>
            <w:right w:val="none" w:sz="0" w:space="0" w:color="auto"/>
          </w:divBdr>
        </w:div>
        <w:div w:id="2141655037">
          <w:marLeft w:val="0"/>
          <w:marRight w:val="0"/>
          <w:marTop w:val="0"/>
          <w:marBottom w:val="0"/>
          <w:divBdr>
            <w:top w:val="none" w:sz="0" w:space="0" w:color="auto"/>
            <w:left w:val="none" w:sz="0" w:space="0" w:color="auto"/>
            <w:bottom w:val="none" w:sz="0" w:space="0" w:color="auto"/>
            <w:right w:val="none" w:sz="0" w:space="0" w:color="auto"/>
          </w:divBdr>
        </w:div>
        <w:div w:id="2145536688">
          <w:marLeft w:val="0"/>
          <w:marRight w:val="0"/>
          <w:marTop w:val="0"/>
          <w:marBottom w:val="0"/>
          <w:divBdr>
            <w:top w:val="none" w:sz="0" w:space="0" w:color="auto"/>
            <w:left w:val="none" w:sz="0" w:space="0" w:color="auto"/>
            <w:bottom w:val="none" w:sz="0" w:space="0" w:color="auto"/>
            <w:right w:val="none" w:sz="0" w:space="0" w:color="auto"/>
          </w:divBdr>
        </w:div>
      </w:divsChild>
    </w:div>
    <w:div w:id="1302927426">
      <w:bodyDiv w:val="1"/>
      <w:marLeft w:val="0"/>
      <w:marRight w:val="0"/>
      <w:marTop w:val="0"/>
      <w:marBottom w:val="0"/>
      <w:divBdr>
        <w:top w:val="none" w:sz="0" w:space="0" w:color="auto"/>
        <w:left w:val="none" w:sz="0" w:space="0" w:color="auto"/>
        <w:bottom w:val="none" w:sz="0" w:space="0" w:color="auto"/>
        <w:right w:val="none" w:sz="0" w:space="0" w:color="auto"/>
      </w:divBdr>
    </w:div>
    <w:div w:id="1303778880">
      <w:bodyDiv w:val="1"/>
      <w:marLeft w:val="0"/>
      <w:marRight w:val="0"/>
      <w:marTop w:val="0"/>
      <w:marBottom w:val="0"/>
      <w:divBdr>
        <w:top w:val="none" w:sz="0" w:space="0" w:color="auto"/>
        <w:left w:val="none" w:sz="0" w:space="0" w:color="auto"/>
        <w:bottom w:val="none" w:sz="0" w:space="0" w:color="auto"/>
        <w:right w:val="none" w:sz="0" w:space="0" w:color="auto"/>
      </w:divBdr>
    </w:div>
    <w:div w:id="1317418902">
      <w:bodyDiv w:val="1"/>
      <w:marLeft w:val="0"/>
      <w:marRight w:val="0"/>
      <w:marTop w:val="0"/>
      <w:marBottom w:val="0"/>
      <w:divBdr>
        <w:top w:val="none" w:sz="0" w:space="0" w:color="auto"/>
        <w:left w:val="none" w:sz="0" w:space="0" w:color="auto"/>
        <w:bottom w:val="none" w:sz="0" w:space="0" w:color="auto"/>
        <w:right w:val="none" w:sz="0" w:space="0" w:color="auto"/>
      </w:divBdr>
    </w:div>
    <w:div w:id="1355378707">
      <w:bodyDiv w:val="1"/>
      <w:marLeft w:val="0"/>
      <w:marRight w:val="0"/>
      <w:marTop w:val="0"/>
      <w:marBottom w:val="0"/>
      <w:divBdr>
        <w:top w:val="none" w:sz="0" w:space="0" w:color="auto"/>
        <w:left w:val="none" w:sz="0" w:space="0" w:color="auto"/>
        <w:bottom w:val="none" w:sz="0" w:space="0" w:color="auto"/>
        <w:right w:val="none" w:sz="0" w:space="0" w:color="auto"/>
      </w:divBdr>
    </w:div>
    <w:div w:id="1386760674">
      <w:bodyDiv w:val="1"/>
      <w:marLeft w:val="0"/>
      <w:marRight w:val="0"/>
      <w:marTop w:val="0"/>
      <w:marBottom w:val="0"/>
      <w:divBdr>
        <w:top w:val="none" w:sz="0" w:space="0" w:color="auto"/>
        <w:left w:val="none" w:sz="0" w:space="0" w:color="auto"/>
        <w:bottom w:val="none" w:sz="0" w:space="0" w:color="auto"/>
        <w:right w:val="none" w:sz="0" w:space="0" w:color="auto"/>
      </w:divBdr>
    </w:div>
    <w:div w:id="1435709770">
      <w:bodyDiv w:val="1"/>
      <w:marLeft w:val="0"/>
      <w:marRight w:val="0"/>
      <w:marTop w:val="0"/>
      <w:marBottom w:val="0"/>
      <w:divBdr>
        <w:top w:val="none" w:sz="0" w:space="0" w:color="auto"/>
        <w:left w:val="none" w:sz="0" w:space="0" w:color="auto"/>
        <w:bottom w:val="none" w:sz="0" w:space="0" w:color="auto"/>
        <w:right w:val="none" w:sz="0" w:space="0" w:color="auto"/>
      </w:divBdr>
    </w:div>
    <w:div w:id="1436366462">
      <w:bodyDiv w:val="1"/>
      <w:marLeft w:val="0"/>
      <w:marRight w:val="0"/>
      <w:marTop w:val="0"/>
      <w:marBottom w:val="0"/>
      <w:divBdr>
        <w:top w:val="none" w:sz="0" w:space="0" w:color="auto"/>
        <w:left w:val="none" w:sz="0" w:space="0" w:color="auto"/>
        <w:bottom w:val="none" w:sz="0" w:space="0" w:color="auto"/>
        <w:right w:val="none" w:sz="0" w:space="0" w:color="auto"/>
      </w:divBdr>
    </w:div>
    <w:div w:id="1440642211">
      <w:bodyDiv w:val="1"/>
      <w:marLeft w:val="0"/>
      <w:marRight w:val="0"/>
      <w:marTop w:val="0"/>
      <w:marBottom w:val="0"/>
      <w:divBdr>
        <w:top w:val="none" w:sz="0" w:space="0" w:color="auto"/>
        <w:left w:val="none" w:sz="0" w:space="0" w:color="auto"/>
        <w:bottom w:val="none" w:sz="0" w:space="0" w:color="auto"/>
        <w:right w:val="none" w:sz="0" w:space="0" w:color="auto"/>
      </w:divBdr>
    </w:div>
    <w:div w:id="1475024442">
      <w:bodyDiv w:val="1"/>
      <w:marLeft w:val="0"/>
      <w:marRight w:val="0"/>
      <w:marTop w:val="0"/>
      <w:marBottom w:val="0"/>
      <w:divBdr>
        <w:top w:val="none" w:sz="0" w:space="0" w:color="auto"/>
        <w:left w:val="none" w:sz="0" w:space="0" w:color="auto"/>
        <w:bottom w:val="none" w:sz="0" w:space="0" w:color="auto"/>
        <w:right w:val="none" w:sz="0" w:space="0" w:color="auto"/>
      </w:divBdr>
    </w:div>
    <w:div w:id="1522284218">
      <w:bodyDiv w:val="1"/>
      <w:marLeft w:val="0"/>
      <w:marRight w:val="0"/>
      <w:marTop w:val="0"/>
      <w:marBottom w:val="0"/>
      <w:divBdr>
        <w:top w:val="none" w:sz="0" w:space="0" w:color="auto"/>
        <w:left w:val="none" w:sz="0" w:space="0" w:color="auto"/>
        <w:bottom w:val="none" w:sz="0" w:space="0" w:color="auto"/>
        <w:right w:val="none" w:sz="0" w:space="0" w:color="auto"/>
      </w:divBdr>
    </w:div>
    <w:div w:id="1526558742">
      <w:bodyDiv w:val="1"/>
      <w:marLeft w:val="0"/>
      <w:marRight w:val="0"/>
      <w:marTop w:val="0"/>
      <w:marBottom w:val="0"/>
      <w:divBdr>
        <w:top w:val="none" w:sz="0" w:space="0" w:color="auto"/>
        <w:left w:val="none" w:sz="0" w:space="0" w:color="auto"/>
        <w:bottom w:val="none" w:sz="0" w:space="0" w:color="auto"/>
        <w:right w:val="none" w:sz="0" w:space="0" w:color="auto"/>
      </w:divBdr>
    </w:div>
    <w:div w:id="1527476133">
      <w:bodyDiv w:val="1"/>
      <w:marLeft w:val="0"/>
      <w:marRight w:val="0"/>
      <w:marTop w:val="0"/>
      <w:marBottom w:val="0"/>
      <w:divBdr>
        <w:top w:val="none" w:sz="0" w:space="0" w:color="auto"/>
        <w:left w:val="none" w:sz="0" w:space="0" w:color="auto"/>
        <w:bottom w:val="none" w:sz="0" w:space="0" w:color="auto"/>
        <w:right w:val="none" w:sz="0" w:space="0" w:color="auto"/>
      </w:divBdr>
    </w:div>
    <w:div w:id="1542936135">
      <w:bodyDiv w:val="1"/>
      <w:marLeft w:val="0"/>
      <w:marRight w:val="0"/>
      <w:marTop w:val="0"/>
      <w:marBottom w:val="0"/>
      <w:divBdr>
        <w:top w:val="none" w:sz="0" w:space="0" w:color="auto"/>
        <w:left w:val="none" w:sz="0" w:space="0" w:color="auto"/>
        <w:bottom w:val="none" w:sz="0" w:space="0" w:color="auto"/>
        <w:right w:val="none" w:sz="0" w:space="0" w:color="auto"/>
      </w:divBdr>
    </w:div>
    <w:div w:id="1545022717">
      <w:bodyDiv w:val="1"/>
      <w:marLeft w:val="0"/>
      <w:marRight w:val="0"/>
      <w:marTop w:val="0"/>
      <w:marBottom w:val="0"/>
      <w:divBdr>
        <w:top w:val="none" w:sz="0" w:space="0" w:color="auto"/>
        <w:left w:val="none" w:sz="0" w:space="0" w:color="auto"/>
        <w:bottom w:val="none" w:sz="0" w:space="0" w:color="auto"/>
        <w:right w:val="none" w:sz="0" w:space="0" w:color="auto"/>
      </w:divBdr>
      <w:divsChild>
        <w:div w:id="235093082">
          <w:marLeft w:val="0"/>
          <w:marRight w:val="0"/>
          <w:marTop w:val="0"/>
          <w:marBottom w:val="0"/>
          <w:divBdr>
            <w:top w:val="none" w:sz="0" w:space="0" w:color="auto"/>
            <w:left w:val="none" w:sz="0" w:space="0" w:color="auto"/>
            <w:bottom w:val="none" w:sz="0" w:space="0" w:color="auto"/>
            <w:right w:val="none" w:sz="0" w:space="0" w:color="auto"/>
          </w:divBdr>
        </w:div>
        <w:div w:id="830750633">
          <w:marLeft w:val="0"/>
          <w:marRight w:val="0"/>
          <w:marTop w:val="0"/>
          <w:marBottom w:val="0"/>
          <w:divBdr>
            <w:top w:val="none" w:sz="0" w:space="0" w:color="auto"/>
            <w:left w:val="none" w:sz="0" w:space="0" w:color="auto"/>
            <w:bottom w:val="none" w:sz="0" w:space="0" w:color="auto"/>
            <w:right w:val="none" w:sz="0" w:space="0" w:color="auto"/>
          </w:divBdr>
        </w:div>
        <w:div w:id="1083600350">
          <w:marLeft w:val="0"/>
          <w:marRight w:val="0"/>
          <w:marTop w:val="0"/>
          <w:marBottom w:val="0"/>
          <w:divBdr>
            <w:top w:val="none" w:sz="0" w:space="0" w:color="auto"/>
            <w:left w:val="none" w:sz="0" w:space="0" w:color="auto"/>
            <w:bottom w:val="none" w:sz="0" w:space="0" w:color="auto"/>
            <w:right w:val="none" w:sz="0" w:space="0" w:color="auto"/>
          </w:divBdr>
        </w:div>
        <w:div w:id="1340278552">
          <w:marLeft w:val="0"/>
          <w:marRight w:val="0"/>
          <w:marTop w:val="0"/>
          <w:marBottom w:val="0"/>
          <w:divBdr>
            <w:top w:val="none" w:sz="0" w:space="0" w:color="auto"/>
            <w:left w:val="none" w:sz="0" w:space="0" w:color="auto"/>
            <w:bottom w:val="none" w:sz="0" w:space="0" w:color="auto"/>
            <w:right w:val="none" w:sz="0" w:space="0" w:color="auto"/>
          </w:divBdr>
        </w:div>
        <w:div w:id="1588541652">
          <w:marLeft w:val="0"/>
          <w:marRight w:val="0"/>
          <w:marTop w:val="0"/>
          <w:marBottom w:val="0"/>
          <w:divBdr>
            <w:top w:val="none" w:sz="0" w:space="0" w:color="auto"/>
            <w:left w:val="none" w:sz="0" w:space="0" w:color="auto"/>
            <w:bottom w:val="none" w:sz="0" w:space="0" w:color="auto"/>
            <w:right w:val="none" w:sz="0" w:space="0" w:color="auto"/>
          </w:divBdr>
        </w:div>
      </w:divsChild>
    </w:div>
    <w:div w:id="1584872343">
      <w:bodyDiv w:val="1"/>
      <w:marLeft w:val="0"/>
      <w:marRight w:val="0"/>
      <w:marTop w:val="0"/>
      <w:marBottom w:val="0"/>
      <w:divBdr>
        <w:top w:val="none" w:sz="0" w:space="0" w:color="auto"/>
        <w:left w:val="none" w:sz="0" w:space="0" w:color="auto"/>
        <w:bottom w:val="none" w:sz="0" w:space="0" w:color="auto"/>
        <w:right w:val="none" w:sz="0" w:space="0" w:color="auto"/>
      </w:divBdr>
      <w:divsChild>
        <w:div w:id="99226822">
          <w:marLeft w:val="0"/>
          <w:marRight w:val="0"/>
          <w:marTop w:val="0"/>
          <w:marBottom w:val="0"/>
          <w:divBdr>
            <w:top w:val="none" w:sz="0" w:space="0" w:color="auto"/>
            <w:left w:val="none" w:sz="0" w:space="0" w:color="auto"/>
            <w:bottom w:val="none" w:sz="0" w:space="0" w:color="auto"/>
            <w:right w:val="none" w:sz="0" w:space="0" w:color="auto"/>
          </w:divBdr>
        </w:div>
        <w:div w:id="157428031">
          <w:marLeft w:val="0"/>
          <w:marRight w:val="0"/>
          <w:marTop w:val="0"/>
          <w:marBottom w:val="0"/>
          <w:divBdr>
            <w:top w:val="none" w:sz="0" w:space="0" w:color="auto"/>
            <w:left w:val="none" w:sz="0" w:space="0" w:color="auto"/>
            <w:bottom w:val="none" w:sz="0" w:space="0" w:color="auto"/>
            <w:right w:val="none" w:sz="0" w:space="0" w:color="auto"/>
          </w:divBdr>
        </w:div>
        <w:div w:id="317922520">
          <w:marLeft w:val="0"/>
          <w:marRight w:val="0"/>
          <w:marTop w:val="0"/>
          <w:marBottom w:val="0"/>
          <w:divBdr>
            <w:top w:val="none" w:sz="0" w:space="0" w:color="auto"/>
            <w:left w:val="none" w:sz="0" w:space="0" w:color="auto"/>
            <w:bottom w:val="none" w:sz="0" w:space="0" w:color="auto"/>
            <w:right w:val="none" w:sz="0" w:space="0" w:color="auto"/>
          </w:divBdr>
        </w:div>
        <w:div w:id="541140225">
          <w:marLeft w:val="0"/>
          <w:marRight w:val="0"/>
          <w:marTop w:val="0"/>
          <w:marBottom w:val="0"/>
          <w:divBdr>
            <w:top w:val="none" w:sz="0" w:space="0" w:color="auto"/>
            <w:left w:val="none" w:sz="0" w:space="0" w:color="auto"/>
            <w:bottom w:val="none" w:sz="0" w:space="0" w:color="auto"/>
            <w:right w:val="none" w:sz="0" w:space="0" w:color="auto"/>
          </w:divBdr>
        </w:div>
        <w:div w:id="658315154">
          <w:marLeft w:val="0"/>
          <w:marRight w:val="0"/>
          <w:marTop w:val="0"/>
          <w:marBottom w:val="0"/>
          <w:divBdr>
            <w:top w:val="none" w:sz="0" w:space="0" w:color="auto"/>
            <w:left w:val="none" w:sz="0" w:space="0" w:color="auto"/>
            <w:bottom w:val="none" w:sz="0" w:space="0" w:color="auto"/>
            <w:right w:val="none" w:sz="0" w:space="0" w:color="auto"/>
          </w:divBdr>
        </w:div>
        <w:div w:id="750396943">
          <w:marLeft w:val="0"/>
          <w:marRight w:val="0"/>
          <w:marTop w:val="0"/>
          <w:marBottom w:val="0"/>
          <w:divBdr>
            <w:top w:val="none" w:sz="0" w:space="0" w:color="auto"/>
            <w:left w:val="none" w:sz="0" w:space="0" w:color="auto"/>
            <w:bottom w:val="none" w:sz="0" w:space="0" w:color="auto"/>
            <w:right w:val="none" w:sz="0" w:space="0" w:color="auto"/>
          </w:divBdr>
        </w:div>
        <w:div w:id="932469536">
          <w:marLeft w:val="0"/>
          <w:marRight w:val="0"/>
          <w:marTop w:val="0"/>
          <w:marBottom w:val="0"/>
          <w:divBdr>
            <w:top w:val="none" w:sz="0" w:space="0" w:color="auto"/>
            <w:left w:val="none" w:sz="0" w:space="0" w:color="auto"/>
            <w:bottom w:val="none" w:sz="0" w:space="0" w:color="auto"/>
            <w:right w:val="none" w:sz="0" w:space="0" w:color="auto"/>
          </w:divBdr>
        </w:div>
        <w:div w:id="1263949213">
          <w:marLeft w:val="0"/>
          <w:marRight w:val="0"/>
          <w:marTop w:val="0"/>
          <w:marBottom w:val="0"/>
          <w:divBdr>
            <w:top w:val="none" w:sz="0" w:space="0" w:color="auto"/>
            <w:left w:val="none" w:sz="0" w:space="0" w:color="auto"/>
            <w:bottom w:val="none" w:sz="0" w:space="0" w:color="auto"/>
            <w:right w:val="none" w:sz="0" w:space="0" w:color="auto"/>
          </w:divBdr>
        </w:div>
      </w:divsChild>
    </w:div>
    <w:div w:id="1590768247">
      <w:bodyDiv w:val="1"/>
      <w:marLeft w:val="0"/>
      <w:marRight w:val="0"/>
      <w:marTop w:val="0"/>
      <w:marBottom w:val="0"/>
      <w:divBdr>
        <w:top w:val="none" w:sz="0" w:space="0" w:color="auto"/>
        <w:left w:val="none" w:sz="0" w:space="0" w:color="auto"/>
        <w:bottom w:val="none" w:sz="0" w:space="0" w:color="auto"/>
        <w:right w:val="none" w:sz="0" w:space="0" w:color="auto"/>
      </w:divBdr>
      <w:divsChild>
        <w:div w:id="6952918">
          <w:marLeft w:val="0"/>
          <w:marRight w:val="0"/>
          <w:marTop w:val="0"/>
          <w:marBottom w:val="0"/>
          <w:divBdr>
            <w:top w:val="none" w:sz="0" w:space="0" w:color="auto"/>
            <w:left w:val="none" w:sz="0" w:space="0" w:color="auto"/>
            <w:bottom w:val="none" w:sz="0" w:space="0" w:color="auto"/>
            <w:right w:val="none" w:sz="0" w:space="0" w:color="auto"/>
          </w:divBdr>
        </w:div>
        <w:div w:id="74665281">
          <w:marLeft w:val="0"/>
          <w:marRight w:val="0"/>
          <w:marTop w:val="0"/>
          <w:marBottom w:val="0"/>
          <w:divBdr>
            <w:top w:val="none" w:sz="0" w:space="0" w:color="auto"/>
            <w:left w:val="none" w:sz="0" w:space="0" w:color="auto"/>
            <w:bottom w:val="none" w:sz="0" w:space="0" w:color="auto"/>
            <w:right w:val="none" w:sz="0" w:space="0" w:color="auto"/>
          </w:divBdr>
        </w:div>
        <w:div w:id="77020111">
          <w:marLeft w:val="0"/>
          <w:marRight w:val="0"/>
          <w:marTop w:val="0"/>
          <w:marBottom w:val="0"/>
          <w:divBdr>
            <w:top w:val="none" w:sz="0" w:space="0" w:color="auto"/>
            <w:left w:val="none" w:sz="0" w:space="0" w:color="auto"/>
            <w:bottom w:val="none" w:sz="0" w:space="0" w:color="auto"/>
            <w:right w:val="none" w:sz="0" w:space="0" w:color="auto"/>
          </w:divBdr>
        </w:div>
        <w:div w:id="135069803">
          <w:marLeft w:val="0"/>
          <w:marRight w:val="0"/>
          <w:marTop w:val="0"/>
          <w:marBottom w:val="0"/>
          <w:divBdr>
            <w:top w:val="none" w:sz="0" w:space="0" w:color="auto"/>
            <w:left w:val="none" w:sz="0" w:space="0" w:color="auto"/>
            <w:bottom w:val="none" w:sz="0" w:space="0" w:color="auto"/>
            <w:right w:val="none" w:sz="0" w:space="0" w:color="auto"/>
          </w:divBdr>
        </w:div>
        <w:div w:id="143740981">
          <w:marLeft w:val="0"/>
          <w:marRight w:val="0"/>
          <w:marTop w:val="0"/>
          <w:marBottom w:val="0"/>
          <w:divBdr>
            <w:top w:val="none" w:sz="0" w:space="0" w:color="auto"/>
            <w:left w:val="none" w:sz="0" w:space="0" w:color="auto"/>
            <w:bottom w:val="none" w:sz="0" w:space="0" w:color="auto"/>
            <w:right w:val="none" w:sz="0" w:space="0" w:color="auto"/>
          </w:divBdr>
        </w:div>
        <w:div w:id="182523640">
          <w:marLeft w:val="0"/>
          <w:marRight w:val="0"/>
          <w:marTop w:val="0"/>
          <w:marBottom w:val="0"/>
          <w:divBdr>
            <w:top w:val="none" w:sz="0" w:space="0" w:color="auto"/>
            <w:left w:val="none" w:sz="0" w:space="0" w:color="auto"/>
            <w:bottom w:val="none" w:sz="0" w:space="0" w:color="auto"/>
            <w:right w:val="none" w:sz="0" w:space="0" w:color="auto"/>
          </w:divBdr>
        </w:div>
        <w:div w:id="203639554">
          <w:marLeft w:val="0"/>
          <w:marRight w:val="0"/>
          <w:marTop w:val="0"/>
          <w:marBottom w:val="0"/>
          <w:divBdr>
            <w:top w:val="none" w:sz="0" w:space="0" w:color="auto"/>
            <w:left w:val="none" w:sz="0" w:space="0" w:color="auto"/>
            <w:bottom w:val="none" w:sz="0" w:space="0" w:color="auto"/>
            <w:right w:val="none" w:sz="0" w:space="0" w:color="auto"/>
          </w:divBdr>
        </w:div>
        <w:div w:id="213279420">
          <w:marLeft w:val="0"/>
          <w:marRight w:val="0"/>
          <w:marTop w:val="0"/>
          <w:marBottom w:val="0"/>
          <w:divBdr>
            <w:top w:val="none" w:sz="0" w:space="0" w:color="auto"/>
            <w:left w:val="none" w:sz="0" w:space="0" w:color="auto"/>
            <w:bottom w:val="none" w:sz="0" w:space="0" w:color="auto"/>
            <w:right w:val="none" w:sz="0" w:space="0" w:color="auto"/>
          </w:divBdr>
        </w:div>
        <w:div w:id="278880238">
          <w:marLeft w:val="0"/>
          <w:marRight w:val="0"/>
          <w:marTop w:val="0"/>
          <w:marBottom w:val="0"/>
          <w:divBdr>
            <w:top w:val="none" w:sz="0" w:space="0" w:color="auto"/>
            <w:left w:val="none" w:sz="0" w:space="0" w:color="auto"/>
            <w:bottom w:val="none" w:sz="0" w:space="0" w:color="auto"/>
            <w:right w:val="none" w:sz="0" w:space="0" w:color="auto"/>
          </w:divBdr>
        </w:div>
        <w:div w:id="468471884">
          <w:marLeft w:val="0"/>
          <w:marRight w:val="0"/>
          <w:marTop w:val="0"/>
          <w:marBottom w:val="0"/>
          <w:divBdr>
            <w:top w:val="none" w:sz="0" w:space="0" w:color="auto"/>
            <w:left w:val="none" w:sz="0" w:space="0" w:color="auto"/>
            <w:bottom w:val="none" w:sz="0" w:space="0" w:color="auto"/>
            <w:right w:val="none" w:sz="0" w:space="0" w:color="auto"/>
          </w:divBdr>
        </w:div>
        <w:div w:id="609313389">
          <w:marLeft w:val="0"/>
          <w:marRight w:val="0"/>
          <w:marTop w:val="0"/>
          <w:marBottom w:val="0"/>
          <w:divBdr>
            <w:top w:val="none" w:sz="0" w:space="0" w:color="auto"/>
            <w:left w:val="none" w:sz="0" w:space="0" w:color="auto"/>
            <w:bottom w:val="none" w:sz="0" w:space="0" w:color="auto"/>
            <w:right w:val="none" w:sz="0" w:space="0" w:color="auto"/>
          </w:divBdr>
        </w:div>
        <w:div w:id="681511803">
          <w:marLeft w:val="0"/>
          <w:marRight w:val="0"/>
          <w:marTop w:val="0"/>
          <w:marBottom w:val="0"/>
          <w:divBdr>
            <w:top w:val="none" w:sz="0" w:space="0" w:color="auto"/>
            <w:left w:val="none" w:sz="0" w:space="0" w:color="auto"/>
            <w:bottom w:val="none" w:sz="0" w:space="0" w:color="auto"/>
            <w:right w:val="none" w:sz="0" w:space="0" w:color="auto"/>
          </w:divBdr>
        </w:div>
        <w:div w:id="683482125">
          <w:marLeft w:val="0"/>
          <w:marRight w:val="0"/>
          <w:marTop w:val="0"/>
          <w:marBottom w:val="0"/>
          <w:divBdr>
            <w:top w:val="none" w:sz="0" w:space="0" w:color="auto"/>
            <w:left w:val="none" w:sz="0" w:space="0" w:color="auto"/>
            <w:bottom w:val="none" w:sz="0" w:space="0" w:color="auto"/>
            <w:right w:val="none" w:sz="0" w:space="0" w:color="auto"/>
          </w:divBdr>
        </w:div>
        <w:div w:id="715276748">
          <w:marLeft w:val="0"/>
          <w:marRight w:val="0"/>
          <w:marTop w:val="0"/>
          <w:marBottom w:val="0"/>
          <w:divBdr>
            <w:top w:val="none" w:sz="0" w:space="0" w:color="auto"/>
            <w:left w:val="none" w:sz="0" w:space="0" w:color="auto"/>
            <w:bottom w:val="none" w:sz="0" w:space="0" w:color="auto"/>
            <w:right w:val="none" w:sz="0" w:space="0" w:color="auto"/>
          </w:divBdr>
        </w:div>
        <w:div w:id="723986917">
          <w:marLeft w:val="0"/>
          <w:marRight w:val="0"/>
          <w:marTop w:val="0"/>
          <w:marBottom w:val="0"/>
          <w:divBdr>
            <w:top w:val="none" w:sz="0" w:space="0" w:color="auto"/>
            <w:left w:val="none" w:sz="0" w:space="0" w:color="auto"/>
            <w:bottom w:val="none" w:sz="0" w:space="0" w:color="auto"/>
            <w:right w:val="none" w:sz="0" w:space="0" w:color="auto"/>
          </w:divBdr>
        </w:div>
        <w:div w:id="729614460">
          <w:marLeft w:val="0"/>
          <w:marRight w:val="0"/>
          <w:marTop w:val="0"/>
          <w:marBottom w:val="0"/>
          <w:divBdr>
            <w:top w:val="none" w:sz="0" w:space="0" w:color="auto"/>
            <w:left w:val="none" w:sz="0" w:space="0" w:color="auto"/>
            <w:bottom w:val="none" w:sz="0" w:space="0" w:color="auto"/>
            <w:right w:val="none" w:sz="0" w:space="0" w:color="auto"/>
          </w:divBdr>
        </w:div>
        <w:div w:id="830604922">
          <w:marLeft w:val="0"/>
          <w:marRight w:val="0"/>
          <w:marTop w:val="0"/>
          <w:marBottom w:val="0"/>
          <w:divBdr>
            <w:top w:val="none" w:sz="0" w:space="0" w:color="auto"/>
            <w:left w:val="none" w:sz="0" w:space="0" w:color="auto"/>
            <w:bottom w:val="none" w:sz="0" w:space="0" w:color="auto"/>
            <w:right w:val="none" w:sz="0" w:space="0" w:color="auto"/>
          </w:divBdr>
        </w:div>
        <w:div w:id="965820726">
          <w:marLeft w:val="0"/>
          <w:marRight w:val="0"/>
          <w:marTop w:val="0"/>
          <w:marBottom w:val="0"/>
          <w:divBdr>
            <w:top w:val="none" w:sz="0" w:space="0" w:color="auto"/>
            <w:left w:val="none" w:sz="0" w:space="0" w:color="auto"/>
            <w:bottom w:val="none" w:sz="0" w:space="0" w:color="auto"/>
            <w:right w:val="none" w:sz="0" w:space="0" w:color="auto"/>
          </w:divBdr>
        </w:div>
        <w:div w:id="971714849">
          <w:marLeft w:val="0"/>
          <w:marRight w:val="0"/>
          <w:marTop w:val="0"/>
          <w:marBottom w:val="0"/>
          <w:divBdr>
            <w:top w:val="none" w:sz="0" w:space="0" w:color="auto"/>
            <w:left w:val="none" w:sz="0" w:space="0" w:color="auto"/>
            <w:bottom w:val="none" w:sz="0" w:space="0" w:color="auto"/>
            <w:right w:val="none" w:sz="0" w:space="0" w:color="auto"/>
          </w:divBdr>
        </w:div>
        <w:div w:id="997003000">
          <w:marLeft w:val="0"/>
          <w:marRight w:val="0"/>
          <w:marTop w:val="0"/>
          <w:marBottom w:val="0"/>
          <w:divBdr>
            <w:top w:val="none" w:sz="0" w:space="0" w:color="auto"/>
            <w:left w:val="none" w:sz="0" w:space="0" w:color="auto"/>
            <w:bottom w:val="none" w:sz="0" w:space="0" w:color="auto"/>
            <w:right w:val="none" w:sz="0" w:space="0" w:color="auto"/>
          </w:divBdr>
        </w:div>
        <w:div w:id="1172377261">
          <w:marLeft w:val="0"/>
          <w:marRight w:val="0"/>
          <w:marTop w:val="0"/>
          <w:marBottom w:val="0"/>
          <w:divBdr>
            <w:top w:val="none" w:sz="0" w:space="0" w:color="auto"/>
            <w:left w:val="none" w:sz="0" w:space="0" w:color="auto"/>
            <w:bottom w:val="none" w:sz="0" w:space="0" w:color="auto"/>
            <w:right w:val="none" w:sz="0" w:space="0" w:color="auto"/>
          </w:divBdr>
        </w:div>
        <w:div w:id="1248004374">
          <w:marLeft w:val="0"/>
          <w:marRight w:val="0"/>
          <w:marTop w:val="0"/>
          <w:marBottom w:val="0"/>
          <w:divBdr>
            <w:top w:val="none" w:sz="0" w:space="0" w:color="auto"/>
            <w:left w:val="none" w:sz="0" w:space="0" w:color="auto"/>
            <w:bottom w:val="none" w:sz="0" w:space="0" w:color="auto"/>
            <w:right w:val="none" w:sz="0" w:space="0" w:color="auto"/>
          </w:divBdr>
        </w:div>
        <w:div w:id="1249844200">
          <w:marLeft w:val="0"/>
          <w:marRight w:val="0"/>
          <w:marTop w:val="0"/>
          <w:marBottom w:val="0"/>
          <w:divBdr>
            <w:top w:val="none" w:sz="0" w:space="0" w:color="auto"/>
            <w:left w:val="none" w:sz="0" w:space="0" w:color="auto"/>
            <w:bottom w:val="none" w:sz="0" w:space="0" w:color="auto"/>
            <w:right w:val="none" w:sz="0" w:space="0" w:color="auto"/>
          </w:divBdr>
        </w:div>
        <w:div w:id="1365015506">
          <w:marLeft w:val="0"/>
          <w:marRight w:val="0"/>
          <w:marTop w:val="0"/>
          <w:marBottom w:val="0"/>
          <w:divBdr>
            <w:top w:val="none" w:sz="0" w:space="0" w:color="auto"/>
            <w:left w:val="none" w:sz="0" w:space="0" w:color="auto"/>
            <w:bottom w:val="none" w:sz="0" w:space="0" w:color="auto"/>
            <w:right w:val="none" w:sz="0" w:space="0" w:color="auto"/>
          </w:divBdr>
        </w:div>
        <w:div w:id="1455513490">
          <w:marLeft w:val="0"/>
          <w:marRight w:val="0"/>
          <w:marTop w:val="0"/>
          <w:marBottom w:val="0"/>
          <w:divBdr>
            <w:top w:val="none" w:sz="0" w:space="0" w:color="auto"/>
            <w:left w:val="none" w:sz="0" w:space="0" w:color="auto"/>
            <w:bottom w:val="none" w:sz="0" w:space="0" w:color="auto"/>
            <w:right w:val="none" w:sz="0" w:space="0" w:color="auto"/>
          </w:divBdr>
        </w:div>
        <w:div w:id="1567033579">
          <w:marLeft w:val="0"/>
          <w:marRight w:val="0"/>
          <w:marTop w:val="0"/>
          <w:marBottom w:val="0"/>
          <w:divBdr>
            <w:top w:val="none" w:sz="0" w:space="0" w:color="auto"/>
            <w:left w:val="none" w:sz="0" w:space="0" w:color="auto"/>
            <w:bottom w:val="none" w:sz="0" w:space="0" w:color="auto"/>
            <w:right w:val="none" w:sz="0" w:space="0" w:color="auto"/>
          </w:divBdr>
        </w:div>
        <w:div w:id="1580557786">
          <w:marLeft w:val="0"/>
          <w:marRight w:val="0"/>
          <w:marTop w:val="0"/>
          <w:marBottom w:val="0"/>
          <w:divBdr>
            <w:top w:val="none" w:sz="0" w:space="0" w:color="auto"/>
            <w:left w:val="none" w:sz="0" w:space="0" w:color="auto"/>
            <w:bottom w:val="none" w:sz="0" w:space="0" w:color="auto"/>
            <w:right w:val="none" w:sz="0" w:space="0" w:color="auto"/>
          </w:divBdr>
        </w:div>
        <w:div w:id="1856503930">
          <w:marLeft w:val="0"/>
          <w:marRight w:val="0"/>
          <w:marTop w:val="0"/>
          <w:marBottom w:val="0"/>
          <w:divBdr>
            <w:top w:val="none" w:sz="0" w:space="0" w:color="auto"/>
            <w:left w:val="none" w:sz="0" w:space="0" w:color="auto"/>
            <w:bottom w:val="none" w:sz="0" w:space="0" w:color="auto"/>
            <w:right w:val="none" w:sz="0" w:space="0" w:color="auto"/>
          </w:divBdr>
        </w:div>
        <w:div w:id="2043630205">
          <w:marLeft w:val="0"/>
          <w:marRight w:val="0"/>
          <w:marTop w:val="0"/>
          <w:marBottom w:val="0"/>
          <w:divBdr>
            <w:top w:val="none" w:sz="0" w:space="0" w:color="auto"/>
            <w:left w:val="none" w:sz="0" w:space="0" w:color="auto"/>
            <w:bottom w:val="none" w:sz="0" w:space="0" w:color="auto"/>
            <w:right w:val="none" w:sz="0" w:space="0" w:color="auto"/>
          </w:divBdr>
        </w:div>
        <w:div w:id="2109151808">
          <w:marLeft w:val="0"/>
          <w:marRight w:val="0"/>
          <w:marTop w:val="0"/>
          <w:marBottom w:val="0"/>
          <w:divBdr>
            <w:top w:val="none" w:sz="0" w:space="0" w:color="auto"/>
            <w:left w:val="none" w:sz="0" w:space="0" w:color="auto"/>
            <w:bottom w:val="none" w:sz="0" w:space="0" w:color="auto"/>
            <w:right w:val="none" w:sz="0" w:space="0" w:color="auto"/>
          </w:divBdr>
        </w:div>
      </w:divsChild>
    </w:div>
    <w:div w:id="1596281877">
      <w:bodyDiv w:val="1"/>
      <w:marLeft w:val="0"/>
      <w:marRight w:val="0"/>
      <w:marTop w:val="0"/>
      <w:marBottom w:val="0"/>
      <w:divBdr>
        <w:top w:val="none" w:sz="0" w:space="0" w:color="auto"/>
        <w:left w:val="none" w:sz="0" w:space="0" w:color="auto"/>
        <w:bottom w:val="none" w:sz="0" w:space="0" w:color="auto"/>
        <w:right w:val="none" w:sz="0" w:space="0" w:color="auto"/>
      </w:divBdr>
    </w:div>
    <w:div w:id="1606041354">
      <w:bodyDiv w:val="1"/>
      <w:marLeft w:val="0"/>
      <w:marRight w:val="0"/>
      <w:marTop w:val="0"/>
      <w:marBottom w:val="0"/>
      <w:divBdr>
        <w:top w:val="none" w:sz="0" w:space="0" w:color="auto"/>
        <w:left w:val="none" w:sz="0" w:space="0" w:color="auto"/>
        <w:bottom w:val="none" w:sz="0" w:space="0" w:color="auto"/>
        <w:right w:val="none" w:sz="0" w:space="0" w:color="auto"/>
      </w:divBdr>
    </w:div>
    <w:div w:id="1612518264">
      <w:bodyDiv w:val="1"/>
      <w:marLeft w:val="0"/>
      <w:marRight w:val="0"/>
      <w:marTop w:val="0"/>
      <w:marBottom w:val="0"/>
      <w:divBdr>
        <w:top w:val="none" w:sz="0" w:space="0" w:color="auto"/>
        <w:left w:val="none" w:sz="0" w:space="0" w:color="auto"/>
        <w:bottom w:val="none" w:sz="0" w:space="0" w:color="auto"/>
        <w:right w:val="none" w:sz="0" w:space="0" w:color="auto"/>
      </w:divBdr>
    </w:div>
    <w:div w:id="1651860366">
      <w:bodyDiv w:val="1"/>
      <w:marLeft w:val="0"/>
      <w:marRight w:val="0"/>
      <w:marTop w:val="0"/>
      <w:marBottom w:val="0"/>
      <w:divBdr>
        <w:top w:val="none" w:sz="0" w:space="0" w:color="auto"/>
        <w:left w:val="none" w:sz="0" w:space="0" w:color="auto"/>
        <w:bottom w:val="none" w:sz="0" w:space="0" w:color="auto"/>
        <w:right w:val="none" w:sz="0" w:space="0" w:color="auto"/>
      </w:divBdr>
    </w:div>
    <w:div w:id="1670257404">
      <w:bodyDiv w:val="1"/>
      <w:marLeft w:val="0"/>
      <w:marRight w:val="0"/>
      <w:marTop w:val="0"/>
      <w:marBottom w:val="0"/>
      <w:divBdr>
        <w:top w:val="none" w:sz="0" w:space="0" w:color="auto"/>
        <w:left w:val="none" w:sz="0" w:space="0" w:color="auto"/>
        <w:bottom w:val="none" w:sz="0" w:space="0" w:color="auto"/>
        <w:right w:val="none" w:sz="0" w:space="0" w:color="auto"/>
      </w:divBdr>
    </w:div>
    <w:div w:id="1684555648">
      <w:bodyDiv w:val="1"/>
      <w:marLeft w:val="0"/>
      <w:marRight w:val="0"/>
      <w:marTop w:val="0"/>
      <w:marBottom w:val="0"/>
      <w:divBdr>
        <w:top w:val="none" w:sz="0" w:space="0" w:color="auto"/>
        <w:left w:val="none" w:sz="0" w:space="0" w:color="auto"/>
        <w:bottom w:val="none" w:sz="0" w:space="0" w:color="auto"/>
        <w:right w:val="none" w:sz="0" w:space="0" w:color="auto"/>
      </w:divBdr>
    </w:div>
    <w:div w:id="1776169678">
      <w:bodyDiv w:val="1"/>
      <w:marLeft w:val="0"/>
      <w:marRight w:val="0"/>
      <w:marTop w:val="0"/>
      <w:marBottom w:val="0"/>
      <w:divBdr>
        <w:top w:val="none" w:sz="0" w:space="0" w:color="auto"/>
        <w:left w:val="none" w:sz="0" w:space="0" w:color="auto"/>
        <w:bottom w:val="none" w:sz="0" w:space="0" w:color="auto"/>
        <w:right w:val="none" w:sz="0" w:space="0" w:color="auto"/>
      </w:divBdr>
    </w:div>
    <w:div w:id="1798986479">
      <w:bodyDiv w:val="1"/>
      <w:marLeft w:val="0"/>
      <w:marRight w:val="0"/>
      <w:marTop w:val="0"/>
      <w:marBottom w:val="0"/>
      <w:divBdr>
        <w:top w:val="none" w:sz="0" w:space="0" w:color="auto"/>
        <w:left w:val="none" w:sz="0" w:space="0" w:color="auto"/>
        <w:bottom w:val="none" w:sz="0" w:space="0" w:color="auto"/>
        <w:right w:val="none" w:sz="0" w:space="0" w:color="auto"/>
      </w:divBdr>
    </w:div>
    <w:div w:id="1862668469">
      <w:bodyDiv w:val="1"/>
      <w:marLeft w:val="0"/>
      <w:marRight w:val="0"/>
      <w:marTop w:val="0"/>
      <w:marBottom w:val="0"/>
      <w:divBdr>
        <w:top w:val="none" w:sz="0" w:space="0" w:color="auto"/>
        <w:left w:val="none" w:sz="0" w:space="0" w:color="auto"/>
        <w:bottom w:val="none" w:sz="0" w:space="0" w:color="auto"/>
        <w:right w:val="none" w:sz="0" w:space="0" w:color="auto"/>
      </w:divBdr>
    </w:div>
    <w:div w:id="1898934791">
      <w:bodyDiv w:val="1"/>
      <w:marLeft w:val="0"/>
      <w:marRight w:val="0"/>
      <w:marTop w:val="0"/>
      <w:marBottom w:val="0"/>
      <w:divBdr>
        <w:top w:val="none" w:sz="0" w:space="0" w:color="auto"/>
        <w:left w:val="none" w:sz="0" w:space="0" w:color="auto"/>
        <w:bottom w:val="none" w:sz="0" w:space="0" w:color="auto"/>
        <w:right w:val="none" w:sz="0" w:space="0" w:color="auto"/>
      </w:divBdr>
      <w:divsChild>
        <w:div w:id="19088875">
          <w:marLeft w:val="0"/>
          <w:marRight w:val="0"/>
          <w:marTop w:val="0"/>
          <w:marBottom w:val="0"/>
          <w:divBdr>
            <w:top w:val="none" w:sz="0" w:space="0" w:color="auto"/>
            <w:left w:val="none" w:sz="0" w:space="0" w:color="auto"/>
            <w:bottom w:val="none" w:sz="0" w:space="0" w:color="auto"/>
            <w:right w:val="none" w:sz="0" w:space="0" w:color="auto"/>
          </w:divBdr>
        </w:div>
        <w:div w:id="1710301876">
          <w:marLeft w:val="0"/>
          <w:marRight w:val="0"/>
          <w:marTop w:val="0"/>
          <w:marBottom w:val="0"/>
          <w:divBdr>
            <w:top w:val="none" w:sz="0" w:space="0" w:color="auto"/>
            <w:left w:val="none" w:sz="0" w:space="0" w:color="auto"/>
            <w:bottom w:val="none" w:sz="0" w:space="0" w:color="auto"/>
            <w:right w:val="none" w:sz="0" w:space="0" w:color="auto"/>
          </w:divBdr>
        </w:div>
      </w:divsChild>
    </w:div>
    <w:div w:id="1921718727">
      <w:bodyDiv w:val="1"/>
      <w:marLeft w:val="0"/>
      <w:marRight w:val="0"/>
      <w:marTop w:val="0"/>
      <w:marBottom w:val="0"/>
      <w:divBdr>
        <w:top w:val="none" w:sz="0" w:space="0" w:color="auto"/>
        <w:left w:val="none" w:sz="0" w:space="0" w:color="auto"/>
        <w:bottom w:val="none" w:sz="0" w:space="0" w:color="auto"/>
        <w:right w:val="none" w:sz="0" w:space="0" w:color="auto"/>
      </w:divBdr>
    </w:div>
    <w:div w:id="2016684871">
      <w:bodyDiv w:val="1"/>
      <w:marLeft w:val="0"/>
      <w:marRight w:val="0"/>
      <w:marTop w:val="0"/>
      <w:marBottom w:val="0"/>
      <w:divBdr>
        <w:top w:val="none" w:sz="0" w:space="0" w:color="auto"/>
        <w:left w:val="none" w:sz="0" w:space="0" w:color="auto"/>
        <w:bottom w:val="none" w:sz="0" w:space="0" w:color="auto"/>
        <w:right w:val="none" w:sz="0" w:space="0" w:color="auto"/>
      </w:divBdr>
    </w:div>
    <w:div w:id="2067798998">
      <w:bodyDiv w:val="1"/>
      <w:marLeft w:val="0"/>
      <w:marRight w:val="0"/>
      <w:marTop w:val="0"/>
      <w:marBottom w:val="0"/>
      <w:divBdr>
        <w:top w:val="none" w:sz="0" w:space="0" w:color="auto"/>
        <w:left w:val="none" w:sz="0" w:space="0" w:color="auto"/>
        <w:bottom w:val="none" w:sz="0" w:space="0" w:color="auto"/>
        <w:right w:val="none" w:sz="0" w:space="0" w:color="auto"/>
      </w:divBdr>
      <w:divsChild>
        <w:div w:id="555358266">
          <w:marLeft w:val="0"/>
          <w:marRight w:val="0"/>
          <w:marTop w:val="0"/>
          <w:marBottom w:val="0"/>
          <w:divBdr>
            <w:top w:val="none" w:sz="0" w:space="0" w:color="auto"/>
            <w:left w:val="none" w:sz="0" w:space="0" w:color="auto"/>
            <w:bottom w:val="none" w:sz="0" w:space="0" w:color="auto"/>
            <w:right w:val="none" w:sz="0" w:space="0" w:color="auto"/>
          </w:divBdr>
          <w:divsChild>
            <w:div w:id="427966924">
              <w:marLeft w:val="0"/>
              <w:marRight w:val="0"/>
              <w:marTop w:val="0"/>
              <w:marBottom w:val="0"/>
              <w:divBdr>
                <w:top w:val="none" w:sz="0" w:space="0" w:color="auto"/>
                <w:left w:val="none" w:sz="0" w:space="0" w:color="auto"/>
                <w:bottom w:val="none" w:sz="0" w:space="0" w:color="auto"/>
                <w:right w:val="none" w:sz="0" w:space="0" w:color="auto"/>
              </w:divBdr>
            </w:div>
            <w:div w:id="11111212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1368815">
      <w:bodyDiv w:val="1"/>
      <w:marLeft w:val="0"/>
      <w:marRight w:val="0"/>
      <w:marTop w:val="0"/>
      <w:marBottom w:val="0"/>
      <w:divBdr>
        <w:top w:val="none" w:sz="0" w:space="0" w:color="auto"/>
        <w:left w:val="none" w:sz="0" w:space="0" w:color="auto"/>
        <w:bottom w:val="none" w:sz="0" w:space="0" w:color="auto"/>
        <w:right w:val="none" w:sz="0" w:space="0" w:color="auto"/>
      </w:divBdr>
    </w:div>
    <w:div w:id="2096394718">
      <w:bodyDiv w:val="1"/>
      <w:marLeft w:val="0"/>
      <w:marRight w:val="0"/>
      <w:marTop w:val="0"/>
      <w:marBottom w:val="0"/>
      <w:divBdr>
        <w:top w:val="none" w:sz="0" w:space="0" w:color="auto"/>
        <w:left w:val="none" w:sz="0" w:space="0" w:color="auto"/>
        <w:bottom w:val="none" w:sz="0" w:space="0" w:color="auto"/>
        <w:right w:val="none" w:sz="0" w:space="0" w:color="auto"/>
      </w:divBdr>
    </w:div>
    <w:div w:id="21441576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36.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3353BEB-602C-40C9-81F8-5D7234B2DF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7976</TotalTime>
  <Pages>36</Pages>
  <Words>9704</Words>
  <Characters>53374</Characters>
  <Application>Microsoft Office Word</Application>
  <DocSecurity>0</DocSecurity>
  <Lines>444</Lines>
  <Paragraphs>125</Paragraphs>
  <ScaleCrop>false</ScaleCrop>
  <HeadingPairs>
    <vt:vector size="2" baseType="variant">
      <vt:variant>
        <vt:lpstr>Titre</vt:lpstr>
      </vt:variant>
      <vt:variant>
        <vt:i4>1</vt:i4>
      </vt:variant>
    </vt:vector>
  </HeadingPairs>
  <TitlesOfParts>
    <vt:vector size="1" baseType="lpstr">
      <vt:lpstr/>
    </vt:vector>
  </TitlesOfParts>
  <Company>Microsoft</Company>
  <LinksUpToDate>false</LinksUpToDate>
  <CharactersWithSpaces>62953</CharactersWithSpaces>
  <SharedDoc>false</SharedDoc>
  <HLinks>
    <vt:vector size="18" baseType="variant">
      <vt:variant>
        <vt:i4>1966137</vt:i4>
      </vt:variant>
      <vt:variant>
        <vt:i4>20</vt:i4>
      </vt:variant>
      <vt:variant>
        <vt:i4>0</vt:i4>
      </vt:variant>
      <vt:variant>
        <vt:i4>5</vt:i4>
      </vt:variant>
      <vt:variant>
        <vt:lpwstr/>
      </vt:variant>
      <vt:variant>
        <vt:lpwstr>_Toc371523983</vt:lpwstr>
      </vt:variant>
      <vt:variant>
        <vt:i4>1966137</vt:i4>
      </vt:variant>
      <vt:variant>
        <vt:i4>14</vt:i4>
      </vt:variant>
      <vt:variant>
        <vt:i4>0</vt:i4>
      </vt:variant>
      <vt:variant>
        <vt:i4>5</vt:i4>
      </vt:variant>
      <vt:variant>
        <vt:lpwstr/>
      </vt:variant>
      <vt:variant>
        <vt:lpwstr>_Toc371523982</vt:lpwstr>
      </vt:variant>
      <vt:variant>
        <vt:i4>1966137</vt:i4>
      </vt:variant>
      <vt:variant>
        <vt:i4>8</vt:i4>
      </vt:variant>
      <vt:variant>
        <vt:i4>0</vt:i4>
      </vt:variant>
      <vt:variant>
        <vt:i4>5</vt:i4>
      </vt:variant>
      <vt:variant>
        <vt:lpwstr/>
      </vt:variant>
      <vt:variant>
        <vt:lpwstr>_Toc371523981</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df</dc:creator>
  <cp:lastModifiedBy>Olivier Bath</cp:lastModifiedBy>
  <cp:revision>435</cp:revision>
  <cp:lastPrinted>2022-01-05T13:33:00Z</cp:lastPrinted>
  <dcterms:created xsi:type="dcterms:W3CDTF">2020-10-16T09:49:00Z</dcterms:created>
  <dcterms:modified xsi:type="dcterms:W3CDTF">2022-01-10T08:55:00Z</dcterms:modified>
</cp:coreProperties>
</file>