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26E" w:rsidRPr="00B71B90" w:rsidRDefault="005214AD">
      <w:pPr>
        <w:rPr>
          <w:color w:val="FF0000"/>
          <w:bdr w:val="single" w:sz="4" w:space="0" w:color="auto"/>
        </w:rPr>
      </w:pPr>
      <w:r w:rsidRPr="00B71B90">
        <w:rPr>
          <w:noProof/>
          <w:color w:val="FF0000"/>
          <w:lang w:eastAsia="fr-FR"/>
        </w:rPr>
        <w:drawing>
          <wp:anchor distT="0" distB="0" distL="114300" distR="114300" simplePos="0" relativeHeight="251659264" behindDoc="1" locked="0" layoutInCell="1" allowOverlap="1" wp14:anchorId="2AC7F81A" wp14:editId="5485BB09">
            <wp:simplePos x="0" y="0"/>
            <wp:positionH relativeFrom="column">
              <wp:posOffset>4379595</wp:posOffset>
            </wp:positionH>
            <wp:positionV relativeFrom="paragraph">
              <wp:posOffset>-281940</wp:posOffset>
            </wp:positionV>
            <wp:extent cx="1272540" cy="981710"/>
            <wp:effectExtent l="0" t="0" r="3810" b="8890"/>
            <wp:wrapThrough wrapText="bothSides">
              <wp:wrapPolygon edited="0">
                <wp:start x="0" y="0"/>
                <wp:lineTo x="0" y="21376"/>
                <wp:lineTo x="21341" y="21376"/>
                <wp:lineTo x="21341"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apeterie N&amp;B H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7254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B90">
        <w:rPr>
          <w:color w:val="FF0000"/>
          <w:bdr w:val="single" w:sz="4" w:space="0" w:color="auto"/>
        </w:rPr>
        <w:t xml:space="preserve"> </w:t>
      </w:r>
    </w:p>
    <w:p w:rsidR="00272F1C" w:rsidRPr="00B71B90" w:rsidRDefault="00272F1C">
      <w:pPr>
        <w:rPr>
          <w:color w:val="FF0000"/>
        </w:rPr>
      </w:pPr>
    </w:p>
    <w:p w:rsidR="00272F1C" w:rsidRPr="00B71B90" w:rsidRDefault="00272F1C">
      <w:pPr>
        <w:rPr>
          <w:color w:val="FF0000"/>
        </w:rPr>
      </w:pPr>
    </w:p>
    <w:p w:rsidR="00272F1C" w:rsidRPr="00A72301" w:rsidRDefault="00C54E6E" w:rsidP="005214AD">
      <w:pPr>
        <w:jc w:val="center"/>
        <w:rPr>
          <w:b/>
          <w:sz w:val="44"/>
          <w:szCs w:val="44"/>
        </w:rPr>
      </w:pPr>
      <w:r w:rsidRPr="00A72301">
        <w:rPr>
          <w:b/>
          <w:sz w:val="44"/>
          <w:szCs w:val="44"/>
        </w:rPr>
        <w:t xml:space="preserve">FICHE D’IDENTIFICATION - </w:t>
      </w:r>
      <w:r w:rsidR="00272F1C" w:rsidRPr="00A72301">
        <w:rPr>
          <w:b/>
          <w:sz w:val="44"/>
          <w:szCs w:val="44"/>
        </w:rPr>
        <w:t>RAPPORT D’ETUDE</w:t>
      </w:r>
    </w:p>
    <w:tbl>
      <w:tblPr>
        <w:tblStyle w:val="Grilledutableau"/>
        <w:tblW w:w="0" w:type="auto"/>
        <w:tblLook w:val="04A0" w:firstRow="1" w:lastRow="0" w:firstColumn="1" w:lastColumn="0" w:noHBand="0" w:noVBand="1"/>
      </w:tblPr>
      <w:tblGrid>
        <w:gridCol w:w="4606"/>
        <w:gridCol w:w="4606"/>
      </w:tblGrid>
      <w:tr w:rsidR="00A72301" w:rsidRPr="00A72301" w:rsidTr="00713297">
        <w:tc>
          <w:tcPr>
            <w:tcW w:w="9212" w:type="dxa"/>
            <w:gridSpan w:val="2"/>
          </w:tcPr>
          <w:p w:rsidR="0098669E" w:rsidRDefault="00C54E6E" w:rsidP="00D859E9">
            <w:pPr>
              <w:spacing w:before="60"/>
              <w:rPr>
                <w:b/>
              </w:rPr>
            </w:pPr>
            <w:r w:rsidRPr="00A72301">
              <w:rPr>
                <w:b/>
              </w:rPr>
              <w:t xml:space="preserve">Titre </w:t>
            </w:r>
            <w:r w:rsidR="00D859E9">
              <w:rPr>
                <w:b/>
              </w:rPr>
              <w:t>de l’étude</w:t>
            </w:r>
            <w:r w:rsidR="0098669E">
              <w:rPr>
                <w:b/>
              </w:rPr>
              <w:t xml:space="preserve"> dans la convention </w:t>
            </w:r>
            <w:r w:rsidRPr="00A72301">
              <w:rPr>
                <w:b/>
              </w:rPr>
              <w:t>:</w:t>
            </w:r>
            <w:r w:rsidR="00D859E9">
              <w:rPr>
                <w:b/>
              </w:rPr>
              <w:t xml:space="preserve"> </w:t>
            </w:r>
            <w:r w:rsidR="0098669E">
              <w:rPr>
                <w:b/>
              </w:rPr>
              <w:t xml:space="preserve">Structuration de la prise de compétence GEMAPI sur le territoire de la CAVEM (Hors Argens). </w:t>
            </w:r>
          </w:p>
          <w:p w:rsidR="004E634B" w:rsidRPr="00A72301" w:rsidRDefault="0098669E" w:rsidP="00D859E9">
            <w:pPr>
              <w:spacing w:before="60"/>
            </w:pPr>
            <w:r>
              <w:rPr>
                <w:b/>
              </w:rPr>
              <w:t xml:space="preserve">Titre du marché d’étude : </w:t>
            </w:r>
            <w:r w:rsidR="00D859E9">
              <w:rPr>
                <w:b/>
              </w:rPr>
              <w:t>Assistance pour l’organisation de la compétence GEMAPI sur le territoire de la CAVEM</w:t>
            </w:r>
            <w:r>
              <w:rPr>
                <w:b/>
              </w:rPr>
              <w:t xml:space="preserve"> (devenue Estérel Côte d’Azur Agglomération)</w:t>
            </w:r>
          </w:p>
        </w:tc>
      </w:tr>
      <w:tr w:rsidR="00A72301" w:rsidRPr="00A72301" w:rsidTr="001C1F6C">
        <w:tc>
          <w:tcPr>
            <w:tcW w:w="9212" w:type="dxa"/>
            <w:gridSpan w:val="2"/>
          </w:tcPr>
          <w:p w:rsidR="00272F1C" w:rsidRPr="00A72301" w:rsidRDefault="004E634B" w:rsidP="00EC1F36">
            <w:pPr>
              <w:spacing w:before="60"/>
              <w:rPr>
                <w:b/>
              </w:rPr>
            </w:pPr>
            <w:r w:rsidRPr="00A72301">
              <w:rPr>
                <w:b/>
              </w:rPr>
              <w:t xml:space="preserve">Sous titres des différents volumes </w:t>
            </w:r>
            <w:r w:rsidR="005214AD" w:rsidRPr="00A72301">
              <w:rPr>
                <w:b/>
              </w:rPr>
              <w:t>:</w:t>
            </w:r>
          </w:p>
          <w:p w:rsidR="0098669E" w:rsidRPr="0098669E" w:rsidRDefault="0098669E" w:rsidP="0098669E">
            <w:pPr>
              <w:pStyle w:val="Paragraphedeliste"/>
              <w:numPr>
                <w:ilvl w:val="0"/>
                <w:numId w:val="5"/>
              </w:numPr>
              <w:spacing w:after="0" w:line="240" w:lineRule="auto"/>
              <w:ind w:right="69"/>
              <w:rPr>
                <w:rFonts w:cs="Times New Roman"/>
                <w:sz w:val="20"/>
                <w:szCs w:val="20"/>
              </w:rPr>
            </w:pPr>
            <w:r w:rsidRPr="0098669E">
              <w:rPr>
                <w:rFonts w:cs="Times New Roman"/>
                <w:sz w:val="20"/>
                <w:szCs w:val="20"/>
              </w:rPr>
              <w:t xml:space="preserve">Phase 1 : État des lieux – Diagnostic </w:t>
            </w:r>
          </w:p>
          <w:p w:rsidR="0098669E" w:rsidRPr="0098669E" w:rsidRDefault="0098669E" w:rsidP="0098669E">
            <w:pPr>
              <w:pStyle w:val="Paragraphedeliste"/>
              <w:numPr>
                <w:ilvl w:val="0"/>
                <w:numId w:val="5"/>
              </w:numPr>
              <w:spacing w:after="0" w:line="240" w:lineRule="auto"/>
              <w:ind w:right="69"/>
              <w:rPr>
                <w:rFonts w:cs="Times New Roman"/>
                <w:sz w:val="20"/>
                <w:szCs w:val="20"/>
              </w:rPr>
            </w:pPr>
            <w:r w:rsidRPr="0098669E">
              <w:rPr>
                <w:rFonts w:cs="Times New Roman"/>
                <w:sz w:val="20"/>
                <w:szCs w:val="20"/>
              </w:rPr>
              <w:t xml:space="preserve">Phase 2 : Scénarios d’organisation </w:t>
            </w:r>
          </w:p>
          <w:p w:rsidR="0098669E" w:rsidRPr="0098669E" w:rsidRDefault="0098669E" w:rsidP="0098669E">
            <w:pPr>
              <w:pStyle w:val="Paragraphedeliste"/>
              <w:numPr>
                <w:ilvl w:val="0"/>
                <w:numId w:val="5"/>
              </w:numPr>
              <w:spacing w:after="0" w:line="240" w:lineRule="auto"/>
              <w:ind w:right="69"/>
              <w:rPr>
                <w:rFonts w:cs="Times New Roman"/>
                <w:sz w:val="20"/>
                <w:szCs w:val="20"/>
              </w:rPr>
            </w:pPr>
            <w:r w:rsidRPr="0098669E">
              <w:rPr>
                <w:rFonts w:cs="Times New Roman"/>
                <w:sz w:val="20"/>
                <w:szCs w:val="20"/>
              </w:rPr>
              <w:t xml:space="preserve">Phase 3 : Déclinaison du scénario retenu pour l’étude de structuration – Rapport d’avancement </w:t>
            </w:r>
          </w:p>
          <w:p w:rsidR="0098669E" w:rsidRPr="0098669E" w:rsidRDefault="0098669E" w:rsidP="0098669E">
            <w:pPr>
              <w:ind w:right="69"/>
              <w:rPr>
                <w:rFonts w:cs="Times New Roman"/>
                <w:sz w:val="20"/>
                <w:szCs w:val="20"/>
              </w:rPr>
            </w:pPr>
          </w:p>
          <w:p w:rsidR="0098669E" w:rsidRPr="0098669E" w:rsidRDefault="0098669E" w:rsidP="0098669E">
            <w:pPr>
              <w:ind w:right="69"/>
              <w:rPr>
                <w:rFonts w:cs="Times New Roman"/>
                <w:sz w:val="20"/>
                <w:szCs w:val="20"/>
              </w:rPr>
            </w:pPr>
            <w:r w:rsidRPr="0098669E">
              <w:rPr>
                <w:rFonts w:cs="Times New Roman"/>
                <w:sz w:val="20"/>
                <w:szCs w:val="20"/>
              </w:rPr>
              <w:t xml:space="preserve">La Phase 4 pour </w:t>
            </w:r>
            <w:r w:rsidRPr="0098669E">
              <w:rPr>
                <w:rFonts w:cs="Times New Roman"/>
                <w:sz w:val="20"/>
                <w:szCs w:val="20"/>
              </w:rPr>
              <w:t>Organisation et déroulement de l’étude</w:t>
            </w:r>
            <w:r w:rsidRPr="0098669E">
              <w:rPr>
                <w:rFonts w:cs="Times New Roman"/>
                <w:sz w:val="20"/>
                <w:szCs w:val="20"/>
              </w:rPr>
              <w:t xml:space="preserve"> </w:t>
            </w:r>
            <w:r>
              <w:rPr>
                <w:rFonts w:cs="Times New Roman"/>
                <w:sz w:val="20"/>
                <w:szCs w:val="20"/>
              </w:rPr>
              <w:t xml:space="preserve">était une phase pour l’assistance durant les COPIL/COTECH et pour l’établissement et la rédaction de support de communication. Il n’y a donc pas de rapport pour cela. </w:t>
            </w:r>
          </w:p>
          <w:p w:rsidR="005214AD" w:rsidRPr="00A72301" w:rsidRDefault="005214AD"/>
        </w:tc>
      </w:tr>
      <w:tr w:rsidR="00A72301" w:rsidRPr="00A72301" w:rsidTr="00272F1C">
        <w:tc>
          <w:tcPr>
            <w:tcW w:w="4606" w:type="dxa"/>
          </w:tcPr>
          <w:p w:rsidR="005214AD" w:rsidRPr="00A72301" w:rsidRDefault="005214AD" w:rsidP="0098669E">
            <w:pPr>
              <w:spacing w:before="60"/>
            </w:pPr>
            <w:r w:rsidRPr="00A72301">
              <w:rPr>
                <w:b/>
              </w:rPr>
              <w:t>Auteur(s) principal(aux) :</w:t>
            </w:r>
          </w:p>
          <w:p w:rsidR="005214AD" w:rsidRPr="00A72301" w:rsidRDefault="0098669E">
            <w:r>
              <w:t xml:space="preserve">ARTELIA </w:t>
            </w:r>
          </w:p>
          <w:p w:rsidR="005214AD" w:rsidRPr="00A72301" w:rsidRDefault="005214AD"/>
          <w:p w:rsidR="005214AD" w:rsidRPr="00A72301" w:rsidRDefault="005214AD"/>
          <w:p w:rsidR="005214AD" w:rsidRPr="00A72301" w:rsidRDefault="005214AD"/>
        </w:tc>
        <w:tc>
          <w:tcPr>
            <w:tcW w:w="4606" w:type="dxa"/>
          </w:tcPr>
          <w:p w:rsidR="005214AD" w:rsidRPr="00A72301" w:rsidRDefault="00C54E6E" w:rsidP="0098669E">
            <w:pPr>
              <w:spacing w:before="60"/>
            </w:pPr>
            <w:r w:rsidRPr="00A72301">
              <w:rPr>
                <w:b/>
              </w:rPr>
              <w:t>Organisme</w:t>
            </w:r>
            <w:r w:rsidR="004E634B" w:rsidRPr="00A72301">
              <w:rPr>
                <w:b/>
              </w:rPr>
              <w:t xml:space="preserve"> (s)</w:t>
            </w:r>
            <w:r w:rsidR="005214AD" w:rsidRPr="00A72301">
              <w:rPr>
                <w:b/>
              </w:rPr>
              <w:t> :</w:t>
            </w:r>
          </w:p>
          <w:p w:rsidR="005214AD" w:rsidRPr="0098669E" w:rsidRDefault="0098669E">
            <w:pPr>
              <w:rPr>
                <w:bCs/>
              </w:rPr>
            </w:pPr>
            <w:r w:rsidRPr="0098669E">
              <w:rPr>
                <w:bCs/>
              </w:rPr>
              <w:t>Estérel Côte d’Azur Agglomération</w:t>
            </w:r>
            <w:r w:rsidRPr="0098669E">
              <w:rPr>
                <w:bCs/>
              </w:rPr>
              <w:t xml:space="preserve"> </w:t>
            </w:r>
          </w:p>
          <w:p w:rsidR="005214AD" w:rsidRPr="00A72301" w:rsidRDefault="005214AD"/>
          <w:p w:rsidR="005214AD" w:rsidRPr="00A72301" w:rsidRDefault="005214AD"/>
        </w:tc>
      </w:tr>
      <w:tr w:rsidR="00A72301" w:rsidRPr="00A72301" w:rsidTr="00A85B79">
        <w:tc>
          <w:tcPr>
            <w:tcW w:w="9212" w:type="dxa"/>
            <w:gridSpan w:val="2"/>
          </w:tcPr>
          <w:p w:rsidR="00272F1C" w:rsidRPr="00A72301" w:rsidRDefault="004E634B" w:rsidP="00EC1F36">
            <w:pPr>
              <w:spacing w:before="60"/>
              <w:rPr>
                <w:b/>
              </w:rPr>
            </w:pPr>
            <w:r w:rsidRPr="00A72301">
              <w:rPr>
                <w:b/>
              </w:rPr>
              <w:t>Résumé</w:t>
            </w:r>
            <w:r w:rsidR="005214AD" w:rsidRPr="00A72301">
              <w:rPr>
                <w:b/>
              </w:rPr>
              <w:t xml:space="preserve"> </w:t>
            </w:r>
            <w:r w:rsidR="00D859E9">
              <w:rPr>
                <w:b/>
              </w:rPr>
              <w:t>des études</w:t>
            </w:r>
            <w:r w:rsidRPr="00A72301">
              <w:rPr>
                <w:b/>
              </w:rPr>
              <w:t> :</w:t>
            </w:r>
          </w:p>
          <w:p w:rsidR="005214AD" w:rsidRPr="00D859E9" w:rsidRDefault="00D859E9">
            <w:pPr>
              <w:rPr>
                <w:b/>
                <w:u w:val="single"/>
              </w:rPr>
            </w:pPr>
            <w:r w:rsidRPr="00D859E9">
              <w:rPr>
                <w:b/>
                <w:u w:val="single"/>
              </w:rPr>
              <w:t xml:space="preserve">Au lancement de l’étude : </w:t>
            </w:r>
          </w:p>
          <w:p w:rsidR="00D859E9" w:rsidRPr="00D859E9" w:rsidRDefault="00D859E9" w:rsidP="00D859E9">
            <w:pPr>
              <w:ind w:right="69"/>
              <w:rPr>
                <w:rFonts w:cs="Times New Roman"/>
                <w:sz w:val="20"/>
                <w:szCs w:val="20"/>
              </w:rPr>
            </w:pPr>
            <w:r w:rsidRPr="00D859E9">
              <w:rPr>
                <w:rFonts w:cs="Times New Roman"/>
                <w:sz w:val="20"/>
                <w:szCs w:val="20"/>
              </w:rPr>
              <w:t xml:space="preserve">Estérel Côte d’Azur Agglomération </w:t>
            </w:r>
            <w:r w:rsidRPr="00D859E9">
              <w:rPr>
                <w:rFonts w:cs="Times New Roman"/>
                <w:sz w:val="20"/>
                <w:szCs w:val="20"/>
              </w:rPr>
              <w:t>poursuit la gestion historique (démarrée dans les années 50) du bassin versant des cours d’eau du Valescure, du Pédégal et de la Garonne sur lequel on observe 240 ha de zones inondables dont 80% en zone urbaine dense. En prenant la compétence en 2018, elle a pris la gestion directe des autres cours d’eau côtiers de l’Esterel et des Maures sur son territoire.</w:t>
            </w:r>
          </w:p>
          <w:p w:rsidR="00D859E9" w:rsidRPr="00D859E9" w:rsidRDefault="00D859E9" w:rsidP="00D859E9">
            <w:pPr>
              <w:ind w:right="69"/>
              <w:contextualSpacing/>
              <w:rPr>
                <w:rFonts w:cs="Times New Roman"/>
                <w:sz w:val="20"/>
                <w:szCs w:val="20"/>
              </w:rPr>
            </w:pPr>
            <w:r w:rsidRPr="00D859E9">
              <w:rPr>
                <w:rFonts w:cs="Times New Roman"/>
                <w:sz w:val="20"/>
                <w:szCs w:val="20"/>
              </w:rPr>
              <w:t>Elle a confié par transfert et/ou délégation la gestion de la compétence sur les autres bassins versants de son territoire :</w:t>
            </w:r>
          </w:p>
          <w:p w:rsidR="00D859E9" w:rsidRPr="00D859E9" w:rsidRDefault="00D859E9" w:rsidP="00D859E9">
            <w:pPr>
              <w:pStyle w:val="Paragraphedeliste"/>
              <w:numPr>
                <w:ilvl w:val="0"/>
                <w:numId w:val="3"/>
              </w:numPr>
              <w:spacing w:after="0" w:line="240" w:lineRule="auto"/>
              <w:ind w:right="69"/>
              <w:rPr>
                <w:rFonts w:asciiTheme="minorHAnsi" w:hAnsiTheme="minorHAnsi" w:cs="Times New Roman"/>
                <w:sz w:val="20"/>
                <w:szCs w:val="20"/>
              </w:rPr>
            </w:pPr>
            <w:r w:rsidRPr="00D859E9">
              <w:rPr>
                <w:rFonts w:asciiTheme="minorHAnsi" w:hAnsiTheme="minorHAnsi" w:cs="Times New Roman"/>
                <w:sz w:val="20"/>
                <w:szCs w:val="20"/>
              </w:rPr>
              <w:t xml:space="preserve">Le syndicat mixte de la </w:t>
            </w:r>
            <w:proofErr w:type="spellStart"/>
            <w:r w:rsidRPr="00D859E9">
              <w:rPr>
                <w:rFonts w:asciiTheme="minorHAnsi" w:hAnsiTheme="minorHAnsi" w:cs="Times New Roman"/>
                <w:sz w:val="20"/>
                <w:szCs w:val="20"/>
              </w:rPr>
              <w:t>Garonnette</w:t>
            </w:r>
            <w:proofErr w:type="spellEnd"/>
            <w:r w:rsidRPr="00D859E9">
              <w:rPr>
                <w:rFonts w:asciiTheme="minorHAnsi" w:hAnsiTheme="minorHAnsi" w:cs="Times New Roman"/>
                <w:sz w:val="20"/>
                <w:szCs w:val="20"/>
              </w:rPr>
              <w:t xml:space="preserve"> sur le cours d’eau de la </w:t>
            </w:r>
            <w:proofErr w:type="spellStart"/>
            <w:r w:rsidRPr="00D859E9">
              <w:rPr>
                <w:rFonts w:asciiTheme="minorHAnsi" w:hAnsiTheme="minorHAnsi" w:cs="Times New Roman"/>
                <w:sz w:val="20"/>
                <w:szCs w:val="20"/>
              </w:rPr>
              <w:t>Garonnette</w:t>
            </w:r>
            <w:proofErr w:type="spellEnd"/>
            <w:r w:rsidRPr="00D859E9">
              <w:rPr>
                <w:rFonts w:asciiTheme="minorHAnsi" w:hAnsiTheme="minorHAnsi" w:cs="Times New Roman"/>
                <w:sz w:val="20"/>
                <w:szCs w:val="20"/>
              </w:rPr>
              <w:t xml:space="preserve"> a été créé en 2011</w:t>
            </w:r>
          </w:p>
          <w:p w:rsidR="00D859E9" w:rsidRPr="00D859E9" w:rsidRDefault="00D859E9" w:rsidP="00D859E9">
            <w:pPr>
              <w:pStyle w:val="Paragraphedeliste"/>
              <w:numPr>
                <w:ilvl w:val="0"/>
                <w:numId w:val="3"/>
              </w:numPr>
              <w:spacing w:after="0" w:line="240" w:lineRule="auto"/>
              <w:ind w:right="69"/>
              <w:rPr>
                <w:rFonts w:asciiTheme="minorHAnsi" w:hAnsiTheme="minorHAnsi" w:cs="Times New Roman"/>
                <w:sz w:val="20"/>
                <w:szCs w:val="20"/>
              </w:rPr>
            </w:pPr>
            <w:proofErr w:type="gramStart"/>
            <w:r w:rsidRPr="00D859E9">
              <w:rPr>
                <w:rFonts w:asciiTheme="minorHAnsi" w:hAnsiTheme="minorHAnsi" w:cs="Times New Roman"/>
                <w:sz w:val="20"/>
                <w:szCs w:val="20"/>
              </w:rPr>
              <w:t>le</w:t>
            </w:r>
            <w:proofErr w:type="gramEnd"/>
            <w:r w:rsidRPr="00D859E9">
              <w:rPr>
                <w:rFonts w:asciiTheme="minorHAnsi" w:hAnsiTheme="minorHAnsi" w:cs="Times New Roman"/>
                <w:sz w:val="20"/>
                <w:szCs w:val="20"/>
              </w:rPr>
              <w:t xml:space="preserve"> SMA sur la bassin versant de l’Argens et de ses affluents dont le </w:t>
            </w:r>
            <w:proofErr w:type="spellStart"/>
            <w:r w:rsidRPr="00D859E9">
              <w:rPr>
                <w:rFonts w:asciiTheme="minorHAnsi" w:hAnsiTheme="minorHAnsi" w:cs="Times New Roman"/>
                <w:sz w:val="20"/>
                <w:szCs w:val="20"/>
              </w:rPr>
              <w:t>Reyran</w:t>
            </w:r>
            <w:proofErr w:type="spellEnd"/>
            <w:r w:rsidRPr="00D859E9">
              <w:rPr>
                <w:rFonts w:asciiTheme="minorHAnsi" w:hAnsiTheme="minorHAnsi" w:cs="Times New Roman"/>
                <w:sz w:val="20"/>
                <w:szCs w:val="20"/>
              </w:rPr>
              <w:t xml:space="preserve"> a été créé en 2014</w:t>
            </w:r>
          </w:p>
          <w:p w:rsidR="00D859E9" w:rsidRPr="00D859E9" w:rsidRDefault="00D859E9" w:rsidP="00D859E9">
            <w:pPr>
              <w:pStyle w:val="Paragraphedeliste"/>
              <w:numPr>
                <w:ilvl w:val="0"/>
                <w:numId w:val="3"/>
              </w:numPr>
              <w:spacing w:after="0" w:line="240" w:lineRule="auto"/>
              <w:ind w:right="69"/>
              <w:rPr>
                <w:rFonts w:asciiTheme="minorHAnsi" w:hAnsiTheme="minorHAnsi" w:cs="Times New Roman"/>
                <w:sz w:val="20"/>
                <w:szCs w:val="20"/>
              </w:rPr>
            </w:pPr>
            <w:proofErr w:type="gramStart"/>
            <w:r w:rsidRPr="00D859E9">
              <w:rPr>
                <w:rFonts w:asciiTheme="minorHAnsi" w:hAnsiTheme="minorHAnsi" w:cs="Times New Roman"/>
                <w:sz w:val="20"/>
                <w:szCs w:val="20"/>
              </w:rPr>
              <w:t>le</w:t>
            </w:r>
            <w:proofErr w:type="gramEnd"/>
            <w:r w:rsidRPr="00D859E9">
              <w:rPr>
                <w:rFonts w:asciiTheme="minorHAnsi" w:hAnsiTheme="minorHAnsi" w:cs="Times New Roman"/>
                <w:sz w:val="20"/>
                <w:szCs w:val="20"/>
              </w:rPr>
              <w:t xml:space="preserve"> SMIAGE sur le bassin versant du Riou de l’Argentière a été créé en 2017</w:t>
            </w:r>
          </w:p>
          <w:p w:rsidR="00D859E9" w:rsidRPr="00D859E9" w:rsidRDefault="00D859E9" w:rsidP="00D859E9">
            <w:pPr>
              <w:ind w:right="69"/>
              <w:jc w:val="both"/>
              <w:rPr>
                <w:rFonts w:cs="Times New Roman"/>
                <w:sz w:val="20"/>
                <w:szCs w:val="20"/>
              </w:rPr>
            </w:pPr>
            <w:r w:rsidRPr="00D859E9">
              <w:rPr>
                <w:rFonts w:cs="Times New Roman"/>
                <w:sz w:val="20"/>
                <w:szCs w:val="20"/>
              </w:rPr>
              <w:t>Des ASA agissent également depuis 2009 sur certains drains agricoles et rus associés (basse vallée de l’Argens notamment) et leur action est tangente entre la compétence GEMAPI et compétence pluviale.</w:t>
            </w:r>
          </w:p>
          <w:p w:rsidR="00D859E9" w:rsidRPr="00D859E9" w:rsidRDefault="00D859E9" w:rsidP="00D859E9">
            <w:pPr>
              <w:tabs>
                <w:tab w:val="left" w:pos="284"/>
              </w:tabs>
              <w:ind w:right="69"/>
              <w:rPr>
                <w:sz w:val="20"/>
                <w:szCs w:val="20"/>
              </w:rPr>
            </w:pPr>
            <w:r w:rsidRPr="00D859E9">
              <w:rPr>
                <w:sz w:val="20"/>
                <w:szCs w:val="20"/>
              </w:rPr>
              <w:t xml:space="preserve">Deux services de </w:t>
            </w:r>
            <w:r w:rsidRPr="00D859E9">
              <w:rPr>
                <w:sz w:val="20"/>
                <w:szCs w:val="20"/>
              </w:rPr>
              <w:t xml:space="preserve">Estérel Côte d’Azur Agglomération </w:t>
            </w:r>
            <w:r w:rsidRPr="00D859E9">
              <w:rPr>
                <w:sz w:val="20"/>
                <w:szCs w:val="20"/>
              </w:rPr>
              <w:t xml:space="preserve">sont chargés de suivre la plupart des missions afférentes à cette compétence : </w:t>
            </w:r>
          </w:p>
          <w:p w:rsidR="00D859E9" w:rsidRPr="00D859E9" w:rsidRDefault="00D859E9" w:rsidP="00D859E9">
            <w:pPr>
              <w:pStyle w:val="Paragraphedeliste"/>
              <w:numPr>
                <w:ilvl w:val="0"/>
                <w:numId w:val="3"/>
              </w:numPr>
              <w:spacing w:after="0" w:line="240" w:lineRule="auto"/>
              <w:ind w:right="69"/>
              <w:rPr>
                <w:rFonts w:asciiTheme="minorHAnsi" w:hAnsiTheme="minorHAnsi" w:cs="Times New Roman"/>
                <w:sz w:val="20"/>
                <w:szCs w:val="20"/>
              </w:rPr>
            </w:pPr>
            <w:r w:rsidRPr="00D859E9">
              <w:rPr>
                <w:rFonts w:asciiTheme="minorHAnsi" w:hAnsiTheme="minorHAnsi" w:cs="Times New Roman"/>
                <w:sz w:val="20"/>
                <w:szCs w:val="20"/>
              </w:rPr>
              <w:t>Le Service Hydraulique Cours d’Eau (SHCE) compte 10 ETP en GEMAPI</w:t>
            </w:r>
          </w:p>
          <w:p w:rsidR="00D859E9" w:rsidRPr="00D859E9" w:rsidRDefault="00D859E9" w:rsidP="00D859E9">
            <w:pPr>
              <w:pStyle w:val="Paragraphedeliste"/>
              <w:numPr>
                <w:ilvl w:val="0"/>
                <w:numId w:val="3"/>
              </w:numPr>
              <w:spacing w:after="0" w:line="240" w:lineRule="auto"/>
              <w:ind w:right="69"/>
              <w:rPr>
                <w:rFonts w:asciiTheme="minorHAnsi" w:hAnsiTheme="minorHAnsi" w:cs="Times New Roman"/>
                <w:sz w:val="20"/>
                <w:szCs w:val="20"/>
              </w:rPr>
            </w:pPr>
            <w:r w:rsidRPr="00D859E9">
              <w:rPr>
                <w:rFonts w:asciiTheme="minorHAnsi" w:hAnsiTheme="minorHAnsi" w:cs="Times New Roman"/>
                <w:sz w:val="20"/>
                <w:szCs w:val="20"/>
              </w:rPr>
              <w:t xml:space="preserve">Le service Environnement (E3D), chargé de missions essentiellement en GEMA compte 6 ETP (dont 5 pour la gestion des étangs de </w:t>
            </w:r>
            <w:proofErr w:type="spellStart"/>
            <w:r w:rsidRPr="00D859E9">
              <w:rPr>
                <w:rFonts w:asciiTheme="minorHAnsi" w:hAnsiTheme="minorHAnsi" w:cs="Times New Roman"/>
                <w:sz w:val="20"/>
                <w:szCs w:val="20"/>
              </w:rPr>
              <w:t>Villepey</w:t>
            </w:r>
            <w:proofErr w:type="spellEnd"/>
            <w:r w:rsidRPr="00D859E9">
              <w:rPr>
                <w:rFonts w:asciiTheme="minorHAnsi" w:hAnsiTheme="minorHAnsi" w:cs="Times New Roman"/>
                <w:sz w:val="20"/>
                <w:szCs w:val="20"/>
              </w:rPr>
              <w:t>)</w:t>
            </w:r>
          </w:p>
          <w:p w:rsidR="00D859E9" w:rsidRDefault="00D859E9" w:rsidP="00D859E9">
            <w:pPr>
              <w:tabs>
                <w:tab w:val="left" w:pos="284"/>
              </w:tabs>
              <w:ind w:right="69"/>
              <w:rPr>
                <w:sz w:val="20"/>
                <w:szCs w:val="20"/>
              </w:rPr>
            </w:pPr>
            <w:r w:rsidRPr="00D859E9">
              <w:rPr>
                <w:sz w:val="20"/>
                <w:szCs w:val="20"/>
              </w:rPr>
              <w:t>La CAVEM a instauré la taxe GEMAPI sur son territoire. Elle a fixé un produit de la taxe à 1,9 millions d’euros et fait appel à une subvention du budget principal pour équilibrer les recettes et dépenses.</w:t>
            </w:r>
          </w:p>
          <w:p w:rsidR="00D859E9" w:rsidRPr="00D859E9" w:rsidRDefault="00D859E9" w:rsidP="00D859E9">
            <w:pPr>
              <w:ind w:right="69"/>
              <w:rPr>
                <w:b/>
                <w:u w:val="single"/>
              </w:rPr>
            </w:pPr>
            <w:r>
              <w:rPr>
                <w:b/>
                <w:u w:val="single"/>
              </w:rPr>
              <w:t>Le scenario de structuration retenu dans</w:t>
            </w:r>
            <w:r w:rsidRPr="00D859E9">
              <w:rPr>
                <w:b/>
                <w:u w:val="single"/>
              </w:rPr>
              <w:t xml:space="preserve"> l’étude : </w:t>
            </w:r>
          </w:p>
          <w:p w:rsidR="00D859E9" w:rsidRPr="00D859E9" w:rsidRDefault="00D859E9" w:rsidP="00D859E9">
            <w:pPr>
              <w:pStyle w:val="Paragraphedeliste"/>
              <w:numPr>
                <w:ilvl w:val="0"/>
                <w:numId w:val="4"/>
              </w:numPr>
              <w:tabs>
                <w:tab w:val="left" w:pos="284"/>
              </w:tabs>
              <w:ind w:right="69"/>
              <w:jc w:val="both"/>
              <w:rPr>
                <w:rFonts w:asciiTheme="minorHAnsi" w:hAnsiTheme="minorHAnsi" w:cs="Times New Roman"/>
                <w:b/>
                <w:bCs/>
                <w:sz w:val="20"/>
                <w:szCs w:val="20"/>
                <w:u w:val="single"/>
              </w:rPr>
            </w:pPr>
            <w:r w:rsidRPr="00D859E9">
              <w:rPr>
                <w:rFonts w:asciiTheme="minorHAnsi" w:hAnsiTheme="minorHAnsi" w:cs="Times New Roman"/>
                <w:sz w:val="20"/>
                <w:szCs w:val="20"/>
              </w:rPr>
              <w:t>Renforcement impératif des services de 4 à 6 personnes</w:t>
            </w:r>
            <w:r>
              <w:rPr>
                <w:rFonts w:asciiTheme="minorHAnsi" w:hAnsiTheme="minorHAnsi" w:cs="Times New Roman"/>
                <w:sz w:val="20"/>
                <w:szCs w:val="20"/>
              </w:rPr>
              <w:t xml:space="preserve">. </w:t>
            </w:r>
            <w:r w:rsidRPr="00D859E9">
              <w:rPr>
                <w:rFonts w:asciiTheme="minorHAnsi" w:hAnsiTheme="minorHAnsi" w:cs="Times New Roman"/>
                <w:sz w:val="20"/>
                <w:szCs w:val="20"/>
              </w:rPr>
              <w:t xml:space="preserve">Le nombre exact de personnes est fonction notamment de l’importance des DIG pour l’entretien des cours d’eau à enjeux à mettre en œuvre, de la prise en charge de la submersion marine, de l’érosion côtière et des ouvrages de protection du littoral, du développement du service en « Système d’annonce de crue locale » (SDAL). Il est fonction également de l’obligation de suivi, d’exploitation, de gestion et de surveillance des digues du </w:t>
            </w:r>
            <w:proofErr w:type="spellStart"/>
            <w:r w:rsidRPr="00D859E9">
              <w:rPr>
                <w:rFonts w:asciiTheme="minorHAnsi" w:hAnsiTheme="minorHAnsi" w:cs="Times New Roman"/>
                <w:sz w:val="20"/>
                <w:szCs w:val="20"/>
              </w:rPr>
              <w:t>Reyran</w:t>
            </w:r>
            <w:proofErr w:type="spellEnd"/>
            <w:r w:rsidRPr="00D859E9">
              <w:rPr>
                <w:rFonts w:asciiTheme="minorHAnsi" w:hAnsiTheme="minorHAnsi" w:cs="Times New Roman"/>
                <w:sz w:val="20"/>
                <w:szCs w:val="20"/>
              </w:rPr>
              <w:t xml:space="preserve">, du futur système d’endiguement de la Palud et des deux nouveaux ouvrages hydrauliques de la Garonne. Il apparait également nécessaire de renforcer les moyens de fonctionnement du service </w:t>
            </w:r>
            <w:r w:rsidRPr="00D859E9">
              <w:rPr>
                <w:rFonts w:asciiTheme="minorHAnsi" w:hAnsiTheme="minorHAnsi" w:cs="Times New Roman"/>
                <w:sz w:val="20"/>
                <w:szCs w:val="20"/>
              </w:rPr>
              <w:lastRenderedPageBreak/>
              <w:t>(véhicules…) et de renforcer le système d’astreintes mis en œuvre pour le système d’annonce de crue et la gestion des ouvrages hydrauliques.</w:t>
            </w:r>
          </w:p>
          <w:p w:rsidR="00D859E9" w:rsidRPr="00D859E9" w:rsidRDefault="00D859E9" w:rsidP="00D859E9">
            <w:pPr>
              <w:pStyle w:val="Paragraphedeliste"/>
              <w:numPr>
                <w:ilvl w:val="0"/>
                <w:numId w:val="4"/>
              </w:numPr>
              <w:ind w:right="69"/>
              <w:jc w:val="both"/>
              <w:rPr>
                <w:rFonts w:asciiTheme="minorHAnsi" w:hAnsiTheme="minorHAnsi" w:cs="Times New Roman"/>
                <w:sz w:val="20"/>
                <w:szCs w:val="20"/>
              </w:rPr>
            </w:pPr>
            <w:r w:rsidRPr="00D859E9">
              <w:rPr>
                <w:rFonts w:asciiTheme="minorHAnsi" w:hAnsiTheme="minorHAnsi" w:cs="Times New Roman"/>
                <w:color w:val="000000" w:themeColor="text1"/>
                <w:sz w:val="20"/>
                <w:szCs w:val="20"/>
              </w:rPr>
              <w:t>Mettre en œuvre des Déclaration d’Intérêt Général (DIG) sur les cours d’eau à enjeux (pas de DIG globale trop coûteuse). Sur les autres cours d’eau un suivi spécifique sera mis en œuvre sur l’entretien réalisé par les propriétaires privés.</w:t>
            </w:r>
          </w:p>
          <w:p w:rsidR="00D859E9" w:rsidRPr="00D859E9" w:rsidRDefault="00D859E9" w:rsidP="00D859E9">
            <w:pPr>
              <w:pStyle w:val="Paragraphedeliste"/>
              <w:numPr>
                <w:ilvl w:val="0"/>
                <w:numId w:val="4"/>
              </w:numPr>
              <w:tabs>
                <w:tab w:val="left" w:pos="284"/>
              </w:tabs>
              <w:ind w:right="69"/>
              <w:jc w:val="both"/>
              <w:rPr>
                <w:rFonts w:asciiTheme="minorHAnsi" w:hAnsiTheme="minorHAnsi" w:cs="Times New Roman"/>
                <w:sz w:val="20"/>
                <w:szCs w:val="20"/>
              </w:rPr>
            </w:pPr>
            <w:r w:rsidRPr="00D859E9">
              <w:rPr>
                <w:rFonts w:asciiTheme="minorHAnsi" w:hAnsiTheme="minorHAnsi" w:cs="Times New Roman"/>
                <w:sz w:val="20"/>
                <w:szCs w:val="20"/>
              </w:rPr>
              <w:t xml:space="preserve">Le transfert total de la GEMAPI au SMIAGE et au Syndicat de la </w:t>
            </w:r>
            <w:proofErr w:type="spellStart"/>
            <w:r w:rsidRPr="00D859E9">
              <w:rPr>
                <w:rFonts w:asciiTheme="minorHAnsi" w:hAnsiTheme="minorHAnsi" w:cs="Times New Roman"/>
                <w:sz w:val="20"/>
                <w:szCs w:val="20"/>
              </w:rPr>
              <w:t>Garonnette</w:t>
            </w:r>
            <w:proofErr w:type="spellEnd"/>
            <w:r w:rsidRPr="00D859E9">
              <w:rPr>
                <w:rFonts w:asciiTheme="minorHAnsi" w:hAnsiTheme="minorHAnsi" w:cs="Times New Roman"/>
                <w:sz w:val="20"/>
                <w:szCs w:val="20"/>
              </w:rPr>
              <w:t>. Le transfert des items 1, 2 et 8 et la délégation de l’item 5 au SMA.</w:t>
            </w:r>
          </w:p>
          <w:p w:rsidR="00D859E9" w:rsidRPr="00D859E9" w:rsidRDefault="00D859E9" w:rsidP="00D859E9">
            <w:pPr>
              <w:pStyle w:val="Paragraphedeliste"/>
              <w:numPr>
                <w:ilvl w:val="0"/>
                <w:numId w:val="4"/>
              </w:numPr>
              <w:tabs>
                <w:tab w:val="left" w:pos="284"/>
              </w:tabs>
              <w:ind w:right="69"/>
              <w:jc w:val="both"/>
              <w:rPr>
                <w:rFonts w:asciiTheme="minorHAnsi" w:hAnsiTheme="minorHAnsi" w:cs="Times New Roman"/>
                <w:sz w:val="20"/>
                <w:szCs w:val="20"/>
              </w:rPr>
            </w:pPr>
            <w:r w:rsidRPr="00D859E9">
              <w:rPr>
                <w:rFonts w:asciiTheme="minorHAnsi" w:hAnsiTheme="minorHAnsi" w:cs="Times New Roman"/>
                <w:sz w:val="20"/>
                <w:szCs w:val="20"/>
              </w:rPr>
              <w:t>Le maintien d’une gestion des cours d’eau côtiers et urbains par la CAVEM et son service SHCE.</w:t>
            </w:r>
          </w:p>
          <w:p w:rsidR="00D859E9" w:rsidRPr="00D859E9" w:rsidRDefault="00D859E9" w:rsidP="00D859E9">
            <w:pPr>
              <w:pStyle w:val="Paragraphedeliste"/>
              <w:numPr>
                <w:ilvl w:val="0"/>
                <w:numId w:val="4"/>
              </w:numPr>
              <w:tabs>
                <w:tab w:val="left" w:pos="284"/>
              </w:tabs>
              <w:ind w:right="69"/>
              <w:jc w:val="both"/>
              <w:rPr>
                <w:rFonts w:asciiTheme="minorHAnsi" w:hAnsiTheme="minorHAnsi" w:cs="Times New Roman"/>
                <w:sz w:val="20"/>
                <w:szCs w:val="20"/>
              </w:rPr>
            </w:pPr>
            <w:r w:rsidRPr="00D859E9">
              <w:rPr>
                <w:rFonts w:asciiTheme="minorHAnsi" w:hAnsiTheme="minorHAnsi" w:cs="Times New Roman"/>
                <w:sz w:val="20"/>
                <w:szCs w:val="20"/>
              </w:rPr>
              <w:t xml:space="preserve">Le maintien des ASA dont l’activité est utile et tant que leurs statuts ne font pas de lien avec la GEMAPI (gestion des drains agricoles associé à la compétence pluviale). </w:t>
            </w:r>
          </w:p>
          <w:p w:rsidR="00D859E9" w:rsidRPr="00D859E9" w:rsidRDefault="00D859E9" w:rsidP="00D859E9">
            <w:pPr>
              <w:pStyle w:val="Paragraphedeliste"/>
              <w:numPr>
                <w:ilvl w:val="0"/>
                <w:numId w:val="4"/>
              </w:numPr>
              <w:tabs>
                <w:tab w:val="left" w:pos="284"/>
              </w:tabs>
              <w:ind w:right="69"/>
              <w:jc w:val="both"/>
              <w:rPr>
                <w:rFonts w:asciiTheme="minorHAnsi" w:hAnsiTheme="minorHAnsi" w:cs="Times New Roman"/>
                <w:sz w:val="20"/>
                <w:szCs w:val="20"/>
              </w:rPr>
            </w:pPr>
            <w:r w:rsidRPr="00D859E9">
              <w:rPr>
                <w:rFonts w:asciiTheme="minorHAnsi" w:hAnsiTheme="minorHAnsi" w:cs="Times New Roman"/>
                <w:sz w:val="20"/>
                <w:szCs w:val="20"/>
              </w:rPr>
              <w:t>Une optimisation nécessaire de la taxe : De lourds investissements vont démarrer à partir de 2021 et les cotisations des syndicats vont connaitre une hausse induite par l’augmentation mécanique des charges (travaux et études programmés)</w:t>
            </w:r>
            <w:r>
              <w:rPr>
                <w:rFonts w:asciiTheme="minorHAnsi" w:hAnsiTheme="minorHAnsi" w:cs="Times New Roman"/>
                <w:sz w:val="20"/>
                <w:szCs w:val="20"/>
              </w:rPr>
              <w:t> : taxe augmentée à son maximum en 2021, soit environ 6 millions d’euros</w:t>
            </w:r>
          </w:p>
          <w:p w:rsidR="005214AD" w:rsidRPr="00A72301" w:rsidRDefault="00D859E9" w:rsidP="00D859E9">
            <w:pPr>
              <w:pStyle w:val="Paragraphedeliste"/>
              <w:numPr>
                <w:ilvl w:val="0"/>
                <w:numId w:val="4"/>
              </w:numPr>
              <w:tabs>
                <w:tab w:val="left" w:pos="284"/>
              </w:tabs>
              <w:ind w:right="69"/>
              <w:jc w:val="both"/>
            </w:pPr>
            <w:r w:rsidRPr="00D859E9">
              <w:rPr>
                <w:rFonts w:asciiTheme="minorHAnsi" w:hAnsiTheme="minorHAnsi" w:cs="Times New Roman"/>
                <w:sz w:val="20"/>
                <w:szCs w:val="20"/>
              </w:rPr>
              <w:t xml:space="preserve">La prise en compte du </w:t>
            </w:r>
            <w:r w:rsidRPr="00D859E9">
              <w:rPr>
                <w:rFonts w:asciiTheme="minorHAnsi" w:hAnsiTheme="minorHAnsi" w:cs="Times New Roman"/>
                <w:sz w:val="20"/>
                <w:szCs w:val="20"/>
              </w:rPr>
              <w:t xml:space="preserve">risque de submersion marine et d’érosion côtière </w:t>
            </w:r>
          </w:p>
        </w:tc>
      </w:tr>
      <w:tr w:rsidR="00272F1C" w:rsidRPr="00A72301" w:rsidTr="006B65AF">
        <w:tc>
          <w:tcPr>
            <w:tcW w:w="9212" w:type="dxa"/>
            <w:gridSpan w:val="2"/>
          </w:tcPr>
          <w:p w:rsidR="005214AD" w:rsidRPr="00A72301" w:rsidRDefault="005214AD"/>
          <w:p w:rsidR="00272F1C" w:rsidRPr="00A72301" w:rsidRDefault="005214AD">
            <w:pPr>
              <w:rPr>
                <w:b/>
              </w:rPr>
            </w:pPr>
            <w:r w:rsidRPr="00A72301">
              <w:rPr>
                <w:b/>
              </w:rPr>
              <w:t>Cocher ici pour indiquer que la mention « Etude réalisée avec le concours financier de l’Agence de l’Eau RMC » figu</w:t>
            </w:r>
            <w:r w:rsidR="00DA7F61" w:rsidRPr="00A72301">
              <w:rPr>
                <w:b/>
              </w:rPr>
              <w:t>r</w:t>
            </w:r>
            <w:r w:rsidRPr="00A72301">
              <w:rPr>
                <w:b/>
              </w:rPr>
              <w:t xml:space="preserve">e sur le rapport d’étude </w:t>
            </w:r>
            <w:r w:rsidR="0098669E">
              <w:rPr>
                <w:b/>
              </w:rPr>
              <w:sym w:font="Wingdings" w:char="F078"/>
            </w:r>
          </w:p>
          <w:p w:rsidR="005214AD" w:rsidRPr="00A72301" w:rsidRDefault="005214AD"/>
        </w:tc>
      </w:tr>
    </w:tbl>
    <w:p w:rsidR="0098669E" w:rsidRDefault="0098669E">
      <w:bookmarkStart w:id="0" w:name="_GoBack"/>
      <w:bookmarkEnd w:id="0"/>
    </w:p>
    <w:sectPr w:rsidR="0098669E" w:rsidSect="005214A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41FA2"/>
    <w:multiLevelType w:val="hybridMultilevel"/>
    <w:tmpl w:val="5F223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F665E0"/>
    <w:multiLevelType w:val="hybridMultilevel"/>
    <w:tmpl w:val="2DE8A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6349B8"/>
    <w:multiLevelType w:val="hybridMultilevel"/>
    <w:tmpl w:val="BD642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66C53DA"/>
    <w:multiLevelType w:val="hybridMultilevel"/>
    <w:tmpl w:val="DACEC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AE31B3A"/>
    <w:multiLevelType w:val="hybridMultilevel"/>
    <w:tmpl w:val="C2D84CFE"/>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4188"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F1C"/>
    <w:rsid w:val="00272F1C"/>
    <w:rsid w:val="004E634B"/>
    <w:rsid w:val="005214AD"/>
    <w:rsid w:val="005B3D4D"/>
    <w:rsid w:val="008748C8"/>
    <w:rsid w:val="0098669E"/>
    <w:rsid w:val="00A72301"/>
    <w:rsid w:val="00B71B90"/>
    <w:rsid w:val="00C54E6E"/>
    <w:rsid w:val="00D859E9"/>
    <w:rsid w:val="00DA7F61"/>
    <w:rsid w:val="00DF4CF1"/>
    <w:rsid w:val="00E20652"/>
    <w:rsid w:val="00EC1F36"/>
    <w:rsid w:val="00F522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4398"/>
  <w15:docId w15:val="{6549A2A9-97CB-4E3A-B7E1-31EAD24E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7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859E9"/>
    <w:pPr>
      <w:spacing w:after="160" w:line="259" w:lineRule="auto"/>
      <w:ind w:left="720"/>
      <w:contextualSpacing/>
    </w:pPr>
    <w:rPr>
      <w:rFonts w:ascii="Times New Roman" w:hAnsi="Times New Roman"/>
      <w:sz w:val="24"/>
    </w:rPr>
  </w:style>
  <w:style w:type="paragraph" w:styleId="NormalWeb">
    <w:name w:val="Normal (Web)"/>
    <w:basedOn w:val="Normal"/>
    <w:uiPriority w:val="99"/>
    <w:semiHidden/>
    <w:unhideWhenUsed/>
    <w:rsid w:val="0098669E"/>
    <w:pPr>
      <w:spacing w:before="100" w:beforeAutospacing="1" w:after="100" w:afterAutospacing="1" w:line="240" w:lineRule="auto"/>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2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690</Words>
  <Characters>3797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COMMINGES Murielle</dc:creator>
  <cp:lastModifiedBy>Fabrice FIQUET-ALBIN</cp:lastModifiedBy>
  <cp:revision>5</cp:revision>
  <dcterms:created xsi:type="dcterms:W3CDTF">2019-10-02T16:53:00Z</dcterms:created>
  <dcterms:modified xsi:type="dcterms:W3CDTF">2022-02-15T16:51:00Z</dcterms:modified>
</cp:coreProperties>
</file>