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6B2" w:rsidRDefault="00A136B2" w:rsidP="004007BF">
      <w:pPr>
        <w:pStyle w:val="Titre"/>
        <w:jc w:val="center"/>
      </w:pPr>
      <w:r w:rsidRPr="00A136B2">
        <w:t xml:space="preserve">Rapport d’activité 2015 </w:t>
      </w:r>
      <w:r>
        <w:t>FDAAPPMA69</w:t>
      </w:r>
    </w:p>
    <w:p w:rsidR="00393B18" w:rsidRDefault="00A136B2" w:rsidP="004007BF">
      <w:pPr>
        <w:pStyle w:val="Titre"/>
        <w:jc w:val="center"/>
      </w:pPr>
      <w:r>
        <w:t>A</w:t>
      </w:r>
      <w:r w:rsidRPr="00A136B2">
        <w:t>ccord cadre FNPF/ AE RMC</w:t>
      </w:r>
    </w:p>
    <w:p w:rsidR="00A136B2" w:rsidRDefault="00A136B2" w:rsidP="004007BF">
      <w:pPr>
        <w:jc w:val="both"/>
        <w:rPr>
          <w:sz w:val="32"/>
        </w:rPr>
      </w:pPr>
    </w:p>
    <w:p w:rsidR="00A136B2" w:rsidRDefault="00A136B2" w:rsidP="00F50492">
      <w:pPr>
        <w:jc w:val="center"/>
        <w:rPr>
          <w:sz w:val="32"/>
        </w:rPr>
      </w:pPr>
      <w:r w:rsidRPr="00A136B2">
        <w:rPr>
          <w:noProof/>
          <w:sz w:val="32"/>
          <w:lang w:eastAsia="fr-FR"/>
        </w:rPr>
        <w:drawing>
          <wp:inline distT="0" distB="0" distL="0" distR="0">
            <wp:extent cx="1074299" cy="1086416"/>
            <wp:effectExtent l="1905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312" cy="1086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36B2">
        <w:rPr>
          <w:noProof/>
          <w:sz w:val="32"/>
          <w:lang w:eastAsia="fr-FR"/>
        </w:rPr>
        <w:drawing>
          <wp:inline distT="0" distB="0" distL="0" distR="0">
            <wp:extent cx="1146181" cy="1081578"/>
            <wp:effectExtent l="19050" t="0" r="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706" cy="1082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6B2" w:rsidRDefault="00A136B2" w:rsidP="004007BF">
      <w:pPr>
        <w:jc w:val="both"/>
        <w:rPr>
          <w:sz w:val="32"/>
        </w:rPr>
      </w:pPr>
    </w:p>
    <w:p w:rsidR="00A136B2" w:rsidRDefault="00A136B2" w:rsidP="004007BF">
      <w:pPr>
        <w:jc w:val="both"/>
        <w:rPr>
          <w:sz w:val="32"/>
        </w:rPr>
      </w:pPr>
    </w:p>
    <w:p w:rsidR="00A136B2" w:rsidRPr="00A136B2" w:rsidRDefault="00A136B2" w:rsidP="004007BF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fr-FR"/>
        </w:rPr>
      </w:pPr>
      <w:r w:rsidRPr="00A136B2">
        <w:rPr>
          <w:rFonts w:ascii="Verdana" w:eastAsia="Times New Roman" w:hAnsi="Verdana" w:cs="Times New Roman"/>
          <w:b/>
          <w:bCs/>
          <w:sz w:val="18"/>
          <w:szCs w:val="18"/>
          <w:lang w:eastAsia="fr-FR"/>
        </w:rPr>
        <w:t>THEME 1 : Elaboration d'outils de gestion</w:t>
      </w:r>
    </w:p>
    <w:p w:rsidR="00A136B2" w:rsidRDefault="00F4416A" w:rsidP="004007BF">
      <w:pPr>
        <w:pStyle w:val="Titre1"/>
        <w:jc w:val="both"/>
      </w:pPr>
      <w:r>
        <w:rPr>
          <w:rFonts w:ascii="Verdana" w:eastAsia="Times New Roman" w:hAnsi="Verdana" w:cs="Times New Roman"/>
          <w:b w:val="0"/>
          <w:bCs w:val="0"/>
          <w:noProof/>
          <w:sz w:val="18"/>
          <w:szCs w:val="1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3.9pt;margin-top:8.6pt;width:464.75pt;height:0;z-index:251666432" o:connectortype="straight"/>
        </w:pict>
      </w:r>
      <w:r w:rsidR="00A136B2" w:rsidRPr="00A136B2">
        <w:rPr>
          <w:noProof/>
          <w:lang w:eastAsia="fr-FR"/>
        </w:rPr>
        <w:drawing>
          <wp:inline distT="0" distB="0" distL="0" distR="0">
            <wp:extent cx="5760720" cy="424239"/>
            <wp:effectExtent l="19050" t="0" r="0" b="0"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4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36B2" w:rsidRPr="00A136B2">
        <w:rPr>
          <w:noProof/>
          <w:lang w:eastAsia="fr-FR"/>
        </w:rPr>
        <w:drawing>
          <wp:inline distT="0" distB="0" distL="0" distR="0">
            <wp:extent cx="5760720" cy="833593"/>
            <wp:effectExtent l="19050" t="0" r="0" b="0"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3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6B2" w:rsidRDefault="00A136B2" w:rsidP="004007BF">
      <w:pPr>
        <w:jc w:val="both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134620</wp:posOffset>
            </wp:positionV>
            <wp:extent cx="1801495" cy="2633980"/>
            <wp:effectExtent l="19050" t="0" r="8255" b="0"/>
            <wp:wrapTight wrapText="bothSides">
              <wp:wrapPolygon edited="0">
                <wp:start x="-228" y="0"/>
                <wp:lineTo x="-228" y="21246"/>
                <wp:lineTo x="21699" y="21246"/>
                <wp:lineTo x="21699" y="0"/>
                <wp:lineTo x="-228" y="0"/>
              </wp:wrapPolygon>
            </wp:wrapTight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263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36B2" w:rsidRPr="00F637E5" w:rsidRDefault="00A136B2" w:rsidP="004007BF">
      <w:pPr>
        <w:jc w:val="both"/>
        <w:rPr>
          <w:b/>
        </w:rPr>
      </w:pPr>
      <w:r w:rsidRPr="00F637E5">
        <w:rPr>
          <w:b/>
        </w:rPr>
        <w:t xml:space="preserve">Observations : </w:t>
      </w:r>
    </w:p>
    <w:p w:rsidR="00A136B2" w:rsidRDefault="00A136B2" w:rsidP="004007BF">
      <w:pPr>
        <w:jc w:val="both"/>
      </w:pPr>
      <w:r>
        <w:t>1.1</w:t>
      </w:r>
      <w:r w:rsidR="00F637E5">
        <w:t>.</w:t>
      </w:r>
      <w:r>
        <w:t xml:space="preserve"> </w:t>
      </w:r>
      <w:r w:rsidR="00F637E5">
        <w:t>Dépassement du prévisionnel : p</w:t>
      </w:r>
      <w:r>
        <w:t xml:space="preserve">rogramme d’action important avec de nombreux aspects à étudier pour sa mise en place, </w:t>
      </w:r>
    </w:p>
    <w:p w:rsidR="00F637E5" w:rsidRDefault="00A136B2" w:rsidP="004007BF">
      <w:pPr>
        <w:jc w:val="both"/>
      </w:pPr>
      <w:r>
        <w:t>1.2</w:t>
      </w:r>
      <w:r w:rsidR="00F637E5">
        <w:t>.</w:t>
      </w:r>
      <w:r>
        <w:t xml:space="preserve"> </w:t>
      </w:r>
      <w:r w:rsidR="00F637E5">
        <w:t>Inférieur au prévisionnel : p</w:t>
      </w:r>
      <w:r>
        <w:t>rise de connaissance du cadre méthodologique national et discussions avec les FD de Rhône-Alpes sur les protocoles pertinents à retenir</w:t>
      </w:r>
      <w:r w:rsidR="00F637E5">
        <w:t> ; difficultés à résoudre sur les grands milieux</w:t>
      </w:r>
      <w:r>
        <w:t>.</w:t>
      </w:r>
    </w:p>
    <w:p w:rsidR="00A136B2" w:rsidRDefault="00F637E5" w:rsidP="004007BF">
      <w:pPr>
        <w:jc w:val="both"/>
      </w:pPr>
      <w:r>
        <w:t xml:space="preserve">1.3. Dépassement du prévisionnel : nombreuses procédures contractuelles de gestion des rivières en cours dans le département et activité élevée de certains syndicats même hors contrats (cf. annexe). </w:t>
      </w:r>
    </w:p>
    <w:p w:rsidR="00F637E5" w:rsidRDefault="00F637E5" w:rsidP="004007BF">
      <w:pPr>
        <w:jc w:val="both"/>
      </w:pPr>
    </w:p>
    <w:p w:rsidR="00F637E5" w:rsidRDefault="00F637E5" w:rsidP="004007BF">
      <w:pPr>
        <w:jc w:val="both"/>
      </w:pPr>
    </w:p>
    <w:p w:rsidR="00F637E5" w:rsidRDefault="00F637E5" w:rsidP="004007BF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fr-FR"/>
        </w:rPr>
      </w:pPr>
      <w:r w:rsidRPr="00F637E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fr-FR"/>
        </w:rPr>
        <w:lastRenderedPageBreak/>
        <w:t>THEME 2 : Connaissance et suivi des milieux aquatiques</w:t>
      </w:r>
    </w:p>
    <w:p w:rsidR="00852EC8" w:rsidRDefault="00F4416A" w:rsidP="004007BF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fr-FR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  <w:szCs w:val="18"/>
          <w:lang w:eastAsia="fr-FR"/>
        </w:rPr>
        <w:pict>
          <v:shape id="_x0000_s1030" type="#_x0000_t32" style="position:absolute;left:0;text-align:left;margin-left:-5.2pt;margin-top:7.85pt;width:464.75pt;height:0;z-index:251665408" o:connectortype="straight"/>
        </w:pict>
      </w:r>
    </w:p>
    <w:p w:rsidR="00F637E5" w:rsidRPr="00F637E5" w:rsidRDefault="00F637E5" w:rsidP="004007BF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fr-FR"/>
        </w:rPr>
      </w:pPr>
    </w:p>
    <w:p w:rsidR="00F637E5" w:rsidRDefault="00F637E5" w:rsidP="004007BF">
      <w:pPr>
        <w:jc w:val="both"/>
      </w:pPr>
      <w:r w:rsidRPr="00F637E5">
        <w:rPr>
          <w:noProof/>
          <w:lang w:eastAsia="fr-FR"/>
        </w:rPr>
        <w:drawing>
          <wp:inline distT="0" distB="0" distL="0" distR="0">
            <wp:extent cx="5760720" cy="424239"/>
            <wp:effectExtent l="19050" t="0" r="0" b="0"/>
            <wp:docPr id="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4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37E5">
        <w:rPr>
          <w:noProof/>
          <w:lang w:eastAsia="fr-FR"/>
        </w:rPr>
        <w:drawing>
          <wp:inline distT="0" distB="0" distL="0" distR="0">
            <wp:extent cx="5760720" cy="977664"/>
            <wp:effectExtent l="19050" t="0" r="0" b="0"/>
            <wp:docPr id="10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77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7E5" w:rsidRDefault="00F637E5" w:rsidP="004007BF">
      <w:pPr>
        <w:jc w:val="both"/>
      </w:pPr>
      <w:r w:rsidRPr="00F637E5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15548</wp:posOffset>
            </wp:positionH>
            <wp:positionV relativeFrom="paragraph">
              <wp:posOffset>1742</wp:posOffset>
            </wp:positionV>
            <wp:extent cx="1801495" cy="2498756"/>
            <wp:effectExtent l="19050" t="0" r="8255" b="0"/>
            <wp:wrapTight wrapText="bothSides">
              <wp:wrapPolygon edited="0">
                <wp:start x="-228" y="0"/>
                <wp:lineTo x="-228" y="21243"/>
                <wp:lineTo x="21699" y="21243"/>
                <wp:lineTo x="21699" y="0"/>
                <wp:lineTo x="-228" y="0"/>
              </wp:wrapPolygon>
            </wp:wrapTight>
            <wp:docPr id="13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2498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637E5">
        <w:t xml:space="preserve"> </w:t>
      </w:r>
    </w:p>
    <w:p w:rsidR="00F637E5" w:rsidRPr="00F637E5" w:rsidRDefault="00F637E5" w:rsidP="004007BF">
      <w:pPr>
        <w:jc w:val="both"/>
        <w:rPr>
          <w:b/>
        </w:rPr>
      </w:pPr>
      <w:r w:rsidRPr="00F637E5">
        <w:rPr>
          <w:b/>
        </w:rPr>
        <w:t xml:space="preserve">Observations : </w:t>
      </w:r>
    </w:p>
    <w:p w:rsidR="00F637E5" w:rsidRDefault="00F637E5" w:rsidP="004007BF">
      <w:pPr>
        <w:jc w:val="both"/>
      </w:pPr>
      <w:r>
        <w:t>2.1.1 à 2.3. Conforme au prévisionnel : études simples ou suivis habituels bien connus et maîtrisés</w:t>
      </w:r>
      <w:r w:rsidR="00852EC8">
        <w:t>. Cf. rapports joints.</w:t>
      </w:r>
    </w:p>
    <w:p w:rsidR="00852EC8" w:rsidRDefault="00852EC8" w:rsidP="004007BF">
      <w:pPr>
        <w:jc w:val="both"/>
      </w:pPr>
      <w:r>
        <w:t xml:space="preserve">2.5. Dépassement du prévisionnel : succès des présentations réalisées auprès des pêcheurs et sollicitation croissante des AAPPMA, plus nombreuses à souhaiter une intervention de la FDAAPPMA à leur AG. Cf. fichiers </w:t>
      </w:r>
      <w:proofErr w:type="spellStart"/>
      <w:r>
        <w:t>ppt</w:t>
      </w:r>
      <w:proofErr w:type="spellEnd"/>
      <w:r>
        <w:t xml:space="preserve"> joints.</w:t>
      </w:r>
    </w:p>
    <w:p w:rsidR="00852EC8" w:rsidRDefault="00852EC8" w:rsidP="004007BF">
      <w:pPr>
        <w:jc w:val="both"/>
      </w:pPr>
    </w:p>
    <w:p w:rsidR="00852EC8" w:rsidRDefault="00852EC8" w:rsidP="004007BF">
      <w:pPr>
        <w:jc w:val="both"/>
      </w:pPr>
    </w:p>
    <w:p w:rsidR="00852EC8" w:rsidRDefault="00852EC8" w:rsidP="004007BF">
      <w:pPr>
        <w:jc w:val="both"/>
      </w:pPr>
      <w:r>
        <w:br w:type="page"/>
      </w:r>
    </w:p>
    <w:p w:rsidR="00852EC8" w:rsidRDefault="00852EC8" w:rsidP="004007BF">
      <w:pPr>
        <w:jc w:val="both"/>
      </w:pPr>
    </w:p>
    <w:p w:rsidR="00852EC8" w:rsidRDefault="00852EC8" w:rsidP="004007BF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fr-FR"/>
        </w:rPr>
      </w:pPr>
      <w:r w:rsidRPr="00852EC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fr-FR"/>
        </w:rPr>
        <w:t>THEME 3 : Travaux ''Milieux''</w:t>
      </w:r>
    </w:p>
    <w:p w:rsidR="00775FF9" w:rsidRDefault="00F4416A" w:rsidP="004007BF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fr-FR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  <w:szCs w:val="18"/>
          <w:lang w:eastAsia="fr-FR"/>
        </w:rPr>
        <w:pict>
          <v:shape id="_x0000_s1029" type="#_x0000_t32" style="position:absolute;left:0;text-align:left;margin-left:2.65pt;margin-top:4.7pt;width:464.75pt;height:0;z-index:251664384" o:connectortype="straight"/>
        </w:pict>
      </w:r>
    </w:p>
    <w:p w:rsidR="00852EC8" w:rsidRPr="00852EC8" w:rsidRDefault="00852EC8" w:rsidP="004007BF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fr-FR"/>
        </w:rPr>
      </w:pPr>
    </w:p>
    <w:p w:rsidR="00852EC8" w:rsidRDefault="00852EC8" w:rsidP="004007BF">
      <w:pPr>
        <w:jc w:val="both"/>
      </w:pPr>
      <w:r w:rsidRPr="00852EC8">
        <w:rPr>
          <w:noProof/>
          <w:lang w:eastAsia="fr-FR"/>
        </w:rPr>
        <w:drawing>
          <wp:inline distT="0" distB="0" distL="0" distR="0">
            <wp:extent cx="5760720" cy="424239"/>
            <wp:effectExtent l="19050" t="0" r="0" b="0"/>
            <wp:docPr id="1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4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2EC8">
        <w:rPr>
          <w:noProof/>
          <w:lang w:eastAsia="fr-FR"/>
        </w:rPr>
        <w:drawing>
          <wp:inline distT="0" distB="0" distL="0" distR="0">
            <wp:extent cx="5760720" cy="1925025"/>
            <wp:effectExtent l="19050" t="0" r="0" b="0"/>
            <wp:docPr id="15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EC8" w:rsidRPr="00F637E5" w:rsidRDefault="00852EC8" w:rsidP="004007BF">
      <w:pPr>
        <w:jc w:val="both"/>
        <w:rPr>
          <w:b/>
        </w:rPr>
      </w:pPr>
      <w:r w:rsidRPr="00852EC8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53340</wp:posOffset>
            </wp:positionV>
            <wp:extent cx="1691640" cy="3562985"/>
            <wp:effectExtent l="19050" t="0" r="3810" b="0"/>
            <wp:wrapTight wrapText="bothSides">
              <wp:wrapPolygon edited="0">
                <wp:start x="-243" y="0"/>
                <wp:lineTo x="-243" y="10394"/>
                <wp:lineTo x="4135" y="11087"/>
                <wp:lineTo x="10946" y="11087"/>
                <wp:lineTo x="3162" y="12357"/>
                <wp:lineTo x="3162" y="12819"/>
                <wp:lineTo x="10946" y="12935"/>
                <wp:lineTo x="10946" y="14782"/>
                <wp:lineTo x="-243" y="14782"/>
                <wp:lineTo x="-243" y="15013"/>
                <wp:lineTo x="10946" y="16630"/>
                <wp:lineTo x="3162" y="17901"/>
                <wp:lineTo x="3162" y="18478"/>
                <wp:lineTo x="10946" y="18478"/>
                <wp:lineTo x="10946" y="20326"/>
                <wp:lineTo x="-243" y="21250"/>
                <wp:lineTo x="-243" y="21365"/>
                <wp:lineTo x="21649" y="21365"/>
                <wp:lineTo x="21649" y="0"/>
                <wp:lineTo x="-243" y="0"/>
              </wp:wrapPolygon>
            </wp:wrapTight>
            <wp:docPr id="16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356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2EC8">
        <w:rPr>
          <w:b/>
        </w:rPr>
        <w:t xml:space="preserve"> </w:t>
      </w:r>
      <w:r w:rsidRPr="00F637E5">
        <w:rPr>
          <w:b/>
        </w:rPr>
        <w:t xml:space="preserve">Observations : </w:t>
      </w:r>
    </w:p>
    <w:p w:rsidR="00066473" w:rsidRDefault="00852EC8" w:rsidP="004007BF">
      <w:pPr>
        <w:jc w:val="both"/>
      </w:pPr>
      <w:r>
        <w:t xml:space="preserve">3.1. Quantité proche du prévisionnel, nombreuses opportunités de lancement de travaux sur le bassin </w:t>
      </w:r>
      <w:proofErr w:type="spellStart"/>
      <w:r>
        <w:t>Brévenne</w:t>
      </w:r>
      <w:proofErr w:type="spellEnd"/>
      <w:r>
        <w:t>-</w:t>
      </w:r>
      <w:proofErr w:type="spellStart"/>
      <w:r>
        <w:t>Turdine</w:t>
      </w:r>
      <w:proofErr w:type="spellEnd"/>
      <w:r>
        <w:t xml:space="preserve"> et chantiers parfois importants. </w:t>
      </w:r>
      <w:r w:rsidR="00066473">
        <w:t xml:space="preserve">Peu d’opportunités ou d’actions sur l’Azergues et les </w:t>
      </w:r>
      <w:proofErr w:type="spellStart"/>
      <w:r w:rsidR="00066473">
        <w:t>Grosnes</w:t>
      </w:r>
      <w:proofErr w:type="spellEnd"/>
      <w:r w:rsidR="00066473">
        <w:t xml:space="preserve"> ; procédure contractuelle en </w:t>
      </w:r>
      <w:proofErr w:type="spellStart"/>
      <w:r w:rsidR="00775FF9">
        <w:t>rediscution</w:t>
      </w:r>
      <w:proofErr w:type="spellEnd"/>
      <w:r w:rsidR="00066473">
        <w:t xml:space="preserve"> sur le </w:t>
      </w:r>
      <w:proofErr w:type="spellStart"/>
      <w:r w:rsidR="00066473">
        <w:t>Sornin</w:t>
      </w:r>
      <w:proofErr w:type="spellEnd"/>
      <w:r w:rsidR="00066473">
        <w:t>. Projets assez nombreux sur le reste du département. Cf. annexe.</w:t>
      </w:r>
    </w:p>
    <w:p w:rsidR="00852EC8" w:rsidRDefault="004007BF" w:rsidP="004007BF">
      <w:pPr>
        <w:jc w:val="both"/>
      </w:pPr>
      <w:r>
        <w:t xml:space="preserve">3.2., 3.2.2., 3.2.4., 3.2.6. </w:t>
      </w:r>
      <w:proofErr w:type="gramStart"/>
      <w:r>
        <w:t>et</w:t>
      </w:r>
      <w:proofErr w:type="gramEnd"/>
      <w:r>
        <w:t xml:space="preserve"> 3.2.7. </w:t>
      </w:r>
      <w:r w:rsidR="00775FF9">
        <w:t>C</w:t>
      </w:r>
      <w:r w:rsidR="00852EC8">
        <w:t>onforme au prévisionnel :</w:t>
      </w:r>
      <w:r w:rsidR="00852EC8" w:rsidRPr="00852EC8">
        <w:t xml:space="preserve"> </w:t>
      </w:r>
      <w:r w:rsidR="00852EC8">
        <w:t xml:space="preserve">suivis </w:t>
      </w:r>
      <w:r w:rsidR="00775FF9">
        <w:t xml:space="preserve">de travaux </w:t>
      </w:r>
      <w:r w:rsidR="00852EC8">
        <w:t>habituels bien connus et maîtrisés. Cf. rapports joints.</w:t>
      </w:r>
    </w:p>
    <w:p w:rsidR="004007BF" w:rsidRDefault="004007BF" w:rsidP="004007BF">
      <w:pPr>
        <w:jc w:val="both"/>
      </w:pPr>
      <w:r>
        <w:t>3.2.3. Dépassement du prévisionnel : relevés supplémentaires exécutés afin de rendre compte de la diversité des milieux recréés par les grands travaux d’Oullins et rester représentatif.</w:t>
      </w:r>
    </w:p>
    <w:p w:rsidR="00775FF9" w:rsidRDefault="00775FF9" w:rsidP="004007BF">
      <w:pPr>
        <w:jc w:val="both"/>
      </w:pPr>
      <w:r>
        <w:t>3.2.5. Dépassement du prévisionnel : besoin de quelques jours supplémentaires de formation en raison de contraintes météorologiques, et réalisation en interne d’une partie prévue en sous-</w:t>
      </w:r>
      <w:proofErr w:type="spellStart"/>
      <w:r>
        <w:t>soutraitance</w:t>
      </w:r>
      <w:proofErr w:type="spellEnd"/>
      <w:r>
        <w:t xml:space="preserve"> (diminution du poste « autres dépenses » en contrepartie). </w:t>
      </w:r>
    </w:p>
    <w:p w:rsidR="00775FF9" w:rsidRDefault="00775FF9">
      <w:r>
        <w:br w:type="page"/>
      </w:r>
    </w:p>
    <w:p w:rsidR="00775FF9" w:rsidRPr="00775FF9" w:rsidRDefault="00775FF9" w:rsidP="00775FF9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fr-FR"/>
        </w:rPr>
      </w:pPr>
      <w:r w:rsidRPr="00775FF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fr-FR"/>
        </w:rPr>
        <w:lastRenderedPageBreak/>
        <w:t>THEME 4 : Education à l'environnement et information du public</w:t>
      </w:r>
    </w:p>
    <w:p w:rsidR="004007BF" w:rsidRDefault="00F4416A" w:rsidP="004007BF">
      <w:pPr>
        <w:jc w:val="both"/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  <w:szCs w:val="18"/>
          <w:lang w:eastAsia="fr-FR"/>
        </w:rPr>
        <w:pict>
          <v:shape id="_x0000_s1027" type="#_x0000_t32" style="position:absolute;left:0;text-align:left;margin-left:-3.45pt;margin-top:9.2pt;width:464.75pt;height:0;z-index:251663360" o:connectortype="straight"/>
        </w:pict>
      </w:r>
    </w:p>
    <w:p w:rsidR="00775FF9" w:rsidRDefault="00775FF9" w:rsidP="004007BF">
      <w:pPr>
        <w:jc w:val="both"/>
      </w:pPr>
      <w:r w:rsidRPr="00775FF9">
        <w:rPr>
          <w:noProof/>
          <w:lang w:eastAsia="fr-FR"/>
        </w:rPr>
        <w:drawing>
          <wp:inline distT="0" distB="0" distL="0" distR="0">
            <wp:extent cx="5760720" cy="424239"/>
            <wp:effectExtent l="19050" t="0" r="0" b="0"/>
            <wp:docPr id="17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4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5FF9">
        <w:rPr>
          <w:noProof/>
          <w:lang w:eastAsia="fr-FR"/>
        </w:rPr>
        <w:drawing>
          <wp:inline distT="0" distB="0" distL="0" distR="0">
            <wp:extent cx="5760720" cy="424239"/>
            <wp:effectExtent l="19050" t="0" r="0" b="0"/>
            <wp:docPr id="18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4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FF9" w:rsidRPr="00F637E5" w:rsidRDefault="00775FF9" w:rsidP="00775FF9">
      <w:pPr>
        <w:jc w:val="both"/>
        <w:rPr>
          <w:b/>
        </w:rPr>
      </w:pPr>
      <w:r w:rsidRPr="00775FF9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15548</wp:posOffset>
            </wp:positionH>
            <wp:positionV relativeFrom="paragraph">
              <wp:posOffset>119</wp:posOffset>
            </wp:positionV>
            <wp:extent cx="1801495" cy="2987644"/>
            <wp:effectExtent l="19050" t="0" r="8255" b="0"/>
            <wp:wrapTight wrapText="bothSides">
              <wp:wrapPolygon edited="0">
                <wp:start x="-228" y="0"/>
                <wp:lineTo x="-228" y="21348"/>
                <wp:lineTo x="21699" y="21348"/>
                <wp:lineTo x="21699" y="0"/>
                <wp:lineTo x="-228" y="0"/>
              </wp:wrapPolygon>
            </wp:wrapTight>
            <wp:docPr id="19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2987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5FF9">
        <w:rPr>
          <w:b/>
        </w:rPr>
        <w:t xml:space="preserve"> </w:t>
      </w:r>
      <w:r w:rsidRPr="00F637E5">
        <w:rPr>
          <w:b/>
        </w:rPr>
        <w:t xml:space="preserve">Observations : </w:t>
      </w:r>
    </w:p>
    <w:p w:rsidR="00775FF9" w:rsidRDefault="00775FF9" w:rsidP="00775FF9">
      <w:pPr>
        <w:jc w:val="both"/>
      </w:pPr>
      <w:r>
        <w:t>3.1. Quantité proche du prévisionnel,</w:t>
      </w:r>
      <w:r w:rsidR="00341582">
        <w:t xml:space="preserve"> temps passé sur le site web inférieur en raison de bugs informatiques bloquant les mises à jour, en attente de refonte du site.</w:t>
      </w:r>
    </w:p>
    <w:p w:rsidR="00341582" w:rsidRDefault="00341582" w:rsidP="00775FF9">
      <w:pPr>
        <w:jc w:val="both"/>
      </w:pPr>
      <w:r>
        <w:t>Réalisation d’articles publiés dans le bulletin « Pêche Rhône » n°3.</w:t>
      </w:r>
    </w:p>
    <w:p w:rsidR="00DB2101" w:rsidRDefault="00DB2101" w:rsidP="00775FF9">
      <w:pPr>
        <w:jc w:val="both"/>
      </w:pPr>
      <w:r>
        <w:t>Conception d’un fascicule d’information destiné aux pêcheurs sur les actions de réhabilitation de frayère et sur l’état des populations de poissons prédateurs.</w:t>
      </w:r>
    </w:p>
    <w:p w:rsidR="00DB2101" w:rsidRDefault="00DB2101" w:rsidP="00DB2101">
      <w:pPr>
        <w:jc w:val="both"/>
      </w:pPr>
      <w:r>
        <w:t>Réalisation d’une journée de formation des commissaires enquêteurs en partenariat avec la DREAL et des associations naturalistes, intervention ciblée sur les enjeux de préservation des milieux aquatiques.</w:t>
      </w:r>
    </w:p>
    <w:p w:rsidR="00341582" w:rsidRDefault="00341582" w:rsidP="00775FF9">
      <w:pPr>
        <w:jc w:val="both"/>
      </w:pPr>
      <w:r>
        <w:t xml:space="preserve">Réalisation de conférences sur l’Azergues en partenariat avec la commune de </w:t>
      </w:r>
      <w:proofErr w:type="spellStart"/>
      <w:r>
        <w:t>Lamure</w:t>
      </w:r>
      <w:proofErr w:type="spellEnd"/>
      <w:r>
        <w:t>/Azergues pour sensibiliser à la continuité écologique. Sur le BV de l’Yzeron, valorisation des travaux effectués pour convaincre une AAPPMA de l’Ain réfractaire à la suppression d’un seuil sur la rivière Calonne (avec succès !…).</w:t>
      </w:r>
    </w:p>
    <w:p w:rsidR="00A82A49" w:rsidRDefault="00A82A49" w:rsidP="00775FF9">
      <w:pPr>
        <w:jc w:val="both"/>
      </w:pPr>
    </w:p>
    <w:p w:rsidR="00A82A49" w:rsidRDefault="00A82A49" w:rsidP="00775FF9">
      <w:pPr>
        <w:jc w:val="both"/>
      </w:pPr>
    </w:p>
    <w:p w:rsidR="00A82A49" w:rsidRDefault="00F4416A" w:rsidP="00775FF9">
      <w:pPr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fr-FR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  <w:szCs w:val="18"/>
          <w:lang w:eastAsia="fr-FR"/>
        </w:rPr>
        <w:pict>
          <v:shape id="_x0000_s1026" type="#_x0000_t32" style="position:absolute;left:0;text-align:left;margin-left:-3.45pt;margin-top:14.35pt;width:464.75pt;height:0;z-index:251662336" o:connectortype="straight"/>
        </w:pict>
      </w:r>
      <w:r w:rsidR="00A82A49" w:rsidRPr="00F441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fr-FR"/>
        </w:rPr>
        <w:t>BILAN</w:t>
      </w:r>
    </w:p>
    <w:p w:rsidR="00F4416A" w:rsidRDefault="00F4416A" w:rsidP="00F4416A">
      <w:pPr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fr-FR"/>
        </w:rPr>
      </w:pPr>
    </w:p>
    <w:p w:rsidR="00F4416A" w:rsidRPr="00F4416A" w:rsidRDefault="00F4416A" w:rsidP="00F4416A">
      <w:pPr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fr-FR"/>
        </w:rPr>
      </w:pPr>
      <w:r w:rsidRPr="00F4416A">
        <w:drawing>
          <wp:inline distT="0" distB="0" distL="0" distR="0">
            <wp:extent cx="1720850" cy="507365"/>
            <wp:effectExtent l="19050" t="0" r="0" b="0"/>
            <wp:docPr id="2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50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A49" w:rsidRDefault="00F4416A" w:rsidP="00F4416A">
      <w:pPr>
        <w:jc w:val="center"/>
      </w:pPr>
      <w:r w:rsidRPr="00F4416A">
        <w:drawing>
          <wp:inline distT="0" distB="0" distL="0" distR="0">
            <wp:extent cx="2465705" cy="838200"/>
            <wp:effectExtent l="19050" t="0" r="0" b="0"/>
            <wp:docPr id="1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16A" w:rsidRPr="00F4416A" w:rsidRDefault="00F4416A" w:rsidP="00F4416A">
      <w:pPr>
        <w:jc w:val="center"/>
        <w:rPr>
          <w:b/>
        </w:rPr>
      </w:pPr>
      <w:r w:rsidRPr="00F4416A">
        <w:rPr>
          <w:b/>
        </w:rPr>
        <w:t>L’ensemble des travaux et actions ont été exécutés conformément au projet retenu par l’Agence de l’Eau (convention 2015 2271).</w:t>
      </w:r>
    </w:p>
    <w:sectPr w:rsidR="00F4416A" w:rsidRPr="00F4416A" w:rsidSect="0039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A136B2"/>
    <w:rsid w:val="00066473"/>
    <w:rsid w:val="00341582"/>
    <w:rsid w:val="00393B18"/>
    <w:rsid w:val="004007BF"/>
    <w:rsid w:val="00775FF9"/>
    <w:rsid w:val="00852EC8"/>
    <w:rsid w:val="008F32A9"/>
    <w:rsid w:val="00942342"/>
    <w:rsid w:val="00A136B2"/>
    <w:rsid w:val="00A53AF4"/>
    <w:rsid w:val="00A57E5C"/>
    <w:rsid w:val="00A8149A"/>
    <w:rsid w:val="00A82A49"/>
    <w:rsid w:val="00B154D2"/>
    <w:rsid w:val="00D10B6D"/>
    <w:rsid w:val="00DB2101"/>
    <w:rsid w:val="00F4416A"/>
    <w:rsid w:val="00F50492"/>
    <w:rsid w:val="00F63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9"/>
        <o:r id="V:Rule6" type="connector" idref="#_x0000_s1030"/>
        <o:r id="V:Rule7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B18"/>
  </w:style>
  <w:style w:type="paragraph" w:styleId="Titre1">
    <w:name w:val="heading 1"/>
    <w:basedOn w:val="Normal"/>
    <w:next w:val="Normal"/>
    <w:link w:val="Titre1Car"/>
    <w:uiPriority w:val="9"/>
    <w:qFormat/>
    <w:rsid w:val="00A136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13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36B2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136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A136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136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jpeg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495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jp.faure</dc:creator>
  <cp:lastModifiedBy>jp.faure</cp:lastModifiedBy>
  <cp:revision>5</cp:revision>
  <dcterms:created xsi:type="dcterms:W3CDTF">2016-09-21T16:13:00Z</dcterms:created>
  <dcterms:modified xsi:type="dcterms:W3CDTF">2016-09-21T17:33:00Z</dcterms:modified>
</cp:coreProperties>
</file>