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54EEA" w14:textId="77777777" w:rsidR="00AB4D3F" w:rsidRPr="00D7640A" w:rsidRDefault="00AB4D3F" w:rsidP="00AB4D3F">
      <w:pPr>
        <w:jc w:val="center"/>
        <w:rPr>
          <w:b/>
          <w:u w:val="single"/>
        </w:rPr>
      </w:pPr>
      <w:r w:rsidRPr="00D7640A">
        <w:rPr>
          <w:b/>
          <w:u w:val="single"/>
        </w:rPr>
        <w:t>Communauté d'Agglomération Var Estérel Méditerranée</w:t>
      </w:r>
    </w:p>
    <w:p w14:paraId="6FF12DAA" w14:textId="77777777" w:rsidR="00AB4D3F" w:rsidRPr="00D7640A" w:rsidRDefault="00AB4D3F" w:rsidP="00AB4D3F">
      <w:pPr>
        <w:jc w:val="center"/>
        <w:rPr>
          <w:b/>
          <w:u w:val="single"/>
          <w:lang w:eastAsia="fr-FR"/>
        </w:rPr>
      </w:pPr>
      <w:r w:rsidRPr="00D7640A">
        <w:rPr>
          <w:b/>
          <w:u w:val="single"/>
          <w:lang w:eastAsia="fr-FR"/>
        </w:rPr>
        <w:t>étude pour une gestion durable des services publics d’eau et d’assainissement pour répondre aux problématiques de pollutions des milieux aquatiques</w:t>
      </w:r>
    </w:p>
    <w:p w14:paraId="261206A5" w14:textId="4D9AED6A" w:rsidR="00534AD5" w:rsidRPr="00AB4D3F" w:rsidRDefault="00AF744B" w:rsidP="00AB4D3F">
      <w:pPr>
        <w:jc w:val="center"/>
        <w:rPr>
          <w:b/>
          <w:u w:val="single"/>
          <w:lang w:eastAsia="fr-FR"/>
        </w:rPr>
      </w:pPr>
      <w:r>
        <w:rPr>
          <w:b/>
          <w:u w:val="single"/>
          <w:lang w:eastAsia="fr-FR"/>
        </w:rPr>
        <w:t>Phase 3 - E</w:t>
      </w:r>
      <w:r w:rsidR="00AB4D3F" w:rsidRPr="00AB4D3F">
        <w:rPr>
          <w:b/>
          <w:u w:val="single"/>
          <w:lang w:eastAsia="fr-FR"/>
        </w:rPr>
        <w:t>tat des lieux de l’organisation des services eau et assainissement</w:t>
      </w:r>
    </w:p>
    <w:p w14:paraId="2C138440" w14:textId="03C54F24" w:rsidR="00AB4D3F" w:rsidRDefault="00AB4D3F"/>
    <w:p w14:paraId="4379BAEB" w14:textId="7FD283E1" w:rsidR="00AB4D3F" w:rsidRDefault="00AB4D3F"/>
    <w:p w14:paraId="4A1A504A" w14:textId="77777777" w:rsidR="00AF744B" w:rsidRDefault="00AF744B"/>
    <w:p w14:paraId="3F9F61A4" w14:textId="0B70C216" w:rsidR="00AB4D3F" w:rsidRPr="00AF744B" w:rsidRDefault="00AF744B">
      <w:pPr>
        <w:rPr>
          <w:b/>
          <w:u w:val="single"/>
        </w:rPr>
      </w:pPr>
      <w:r w:rsidRPr="00AF744B">
        <w:rPr>
          <w:b/>
          <w:u w:val="single"/>
        </w:rPr>
        <w:t>Exercice de la compétence assainissement au sein de la CAVEM :</w:t>
      </w:r>
    </w:p>
    <w:p w14:paraId="662CC693" w14:textId="4D7C4CD5" w:rsidR="00AB4D3F" w:rsidRDefault="00AB4D3F">
      <w:r>
        <w:t xml:space="preserve">La </w:t>
      </w:r>
      <w:r w:rsidRPr="00AB4D3F">
        <w:t>Communauté d'Agglomération Var Estérel Méditerranée</w:t>
      </w:r>
      <w:r>
        <w:t xml:space="preserve"> (CAVEM) est compétente en matière d’assainissement sur les 5 communes de son territoire : </w:t>
      </w:r>
      <w:r w:rsidRPr="00AB4D3F">
        <w:t>Les Adrets de l’Estérel</w:t>
      </w:r>
      <w:r>
        <w:t xml:space="preserve">, </w:t>
      </w:r>
      <w:r w:rsidRPr="00AB4D3F">
        <w:t>Fréjus</w:t>
      </w:r>
      <w:r>
        <w:t xml:space="preserve">, </w:t>
      </w:r>
      <w:r w:rsidRPr="00AB4D3F">
        <w:t>St Raphael</w:t>
      </w:r>
      <w:r>
        <w:t xml:space="preserve">, </w:t>
      </w:r>
      <w:r w:rsidRPr="00AB4D3F">
        <w:t>Puget sur Argens</w:t>
      </w:r>
      <w:r>
        <w:t xml:space="preserve">, et </w:t>
      </w:r>
      <w:r w:rsidRPr="00AB4D3F">
        <w:t>Roquebrune sur Argens</w:t>
      </w:r>
      <w:r>
        <w:t>.</w:t>
      </w:r>
    </w:p>
    <w:p w14:paraId="3C836159" w14:textId="3FA9FE82" w:rsidR="00AB4D3F" w:rsidRDefault="00AB4D3F" w:rsidP="00AB4D3F">
      <w:r>
        <w:t xml:space="preserve">Plusieurs services de la CAVEM exercent à ce jour des missions liées à l’exercice de la compétence assainissement (hors services supports), tel qu’identifié dans </w:t>
      </w:r>
      <w:r w:rsidR="00517D28">
        <w:t xml:space="preserve">le tableau et </w:t>
      </w:r>
      <w:r>
        <w:t>l’organigramme de la Collectivité ci-dessous :</w:t>
      </w:r>
    </w:p>
    <w:p w14:paraId="7795942B" w14:textId="78DA7804" w:rsidR="00517D28" w:rsidRDefault="00517D28" w:rsidP="00AB4D3F"/>
    <w:tbl>
      <w:tblPr>
        <w:tblStyle w:val="TableauGrille4-Accentuation5"/>
        <w:tblW w:w="9319" w:type="dxa"/>
        <w:tblLook w:val="04A0" w:firstRow="1" w:lastRow="0" w:firstColumn="1" w:lastColumn="0" w:noHBand="0" w:noVBand="1"/>
      </w:tblPr>
      <w:tblGrid>
        <w:gridCol w:w="3328"/>
        <w:gridCol w:w="3270"/>
        <w:gridCol w:w="2721"/>
      </w:tblGrid>
      <w:tr w:rsidR="007C0C4D" w14:paraId="2BCD4C25" w14:textId="77777777" w:rsidTr="007C0C4D">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328" w:type="dxa"/>
          </w:tcPr>
          <w:p w14:paraId="62C729A8" w14:textId="77777777" w:rsidR="007C0C4D" w:rsidRDefault="007C0C4D" w:rsidP="00332A1F">
            <w:r>
              <w:t xml:space="preserve">Pôle </w:t>
            </w:r>
          </w:p>
        </w:tc>
        <w:tc>
          <w:tcPr>
            <w:tcW w:w="3270" w:type="dxa"/>
          </w:tcPr>
          <w:p w14:paraId="0D95F145" w14:textId="77777777" w:rsidR="007C0C4D" w:rsidRDefault="007C0C4D" w:rsidP="00332A1F">
            <w:pPr>
              <w:cnfStyle w:val="100000000000" w:firstRow="1" w:lastRow="0" w:firstColumn="0" w:lastColumn="0" w:oddVBand="0" w:evenVBand="0" w:oddHBand="0" w:evenHBand="0" w:firstRowFirstColumn="0" w:firstRowLastColumn="0" w:lastRowFirstColumn="0" w:lastRowLastColumn="0"/>
            </w:pPr>
            <w:r>
              <w:t>Service</w:t>
            </w:r>
          </w:p>
        </w:tc>
        <w:tc>
          <w:tcPr>
            <w:tcW w:w="2721" w:type="dxa"/>
          </w:tcPr>
          <w:p w14:paraId="4C55925F" w14:textId="7D1D1964" w:rsidR="007C0C4D" w:rsidRDefault="007C0C4D" w:rsidP="00332A1F">
            <w:pPr>
              <w:cnfStyle w:val="100000000000" w:firstRow="1" w:lastRow="0" w:firstColumn="0" w:lastColumn="0" w:oddVBand="0" w:evenVBand="0" w:oddHBand="0" w:evenHBand="0" w:firstRowFirstColumn="0" w:firstRowLastColumn="0" w:lastRowFirstColumn="0" w:lastRowLastColumn="0"/>
            </w:pPr>
            <w:r>
              <w:t>Responsable de service</w:t>
            </w:r>
          </w:p>
        </w:tc>
      </w:tr>
      <w:tr w:rsidR="007C0C4D" w14:paraId="6512CC10" w14:textId="77777777" w:rsidTr="007C0C4D">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8" w:type="dxa"/>
          </w:tcPr>
          <w:p w14:paraId="7DEEFA29" w14:textId="77777777" w:rsidR="007C0C4D" w:rsidRDefault="007C0C4D" w:rsidP="00332A1F">
            <w:r>
              <w:t xml:space="preserve">partenariat et prospective </w:t>
            </w:r>
          </w:p>
        </w:tc>
        <w:tc>
          <w:tcPr>
            <w:tcW w:w="3270" w:type="dxa"/>
          </w:tcPr>
          <w:p w14:paraId="53FFE51D" w14:textId="77777777" w:rsidR="007C0C4D" w:rsidRDefault="007C0C4D" w:rsidP="00332A1F">
            <w:pPr>
              <w:cnfStyle w:val="000000100000" w:firstRow="0" w:lastRow="0" w:firstColumn="0" w:lastColumn="0" w:oddVBand="0" w:evenVBand="0" w:oddHBand="1" w:evenHBand="0" w:firstRowFirstColumn="0" w:firstRowLastColumn="0" w:lastRowFirstColumn="0" w:lastRowLastColumn="0"/>
            </w:pPr>
            <w:r>
              <w:t>contrat de territoire</w:t>
            </w:r>
          </w:p>
        </w:tc>
        <w:tc>
          <w:tcPr>
            <w:tcW w:w="2721" w:type="dxa"/>
          </w:tcPr>
          <w:p w14:paraId="1B056ADF" w14:textId="54BFD8B0" w:rsidR="007C0C4D" w:rsidRDefault="007C0C4D" w:rsidP="00332A1F">
            <w:pPr>
              <w:cnfStyle w:val="000000100000" w:firstRow="0" w:lastRow="0" w:firstColumn="0" w:lastColumn="0" w:oddVBand="0" w:evenVBand="0" w:oddHBand="1" w:evenHBand="0" w:firstRowFirstColumn="0" w:firstRowLastColumn="0" w:lastRowFirstColumn="0" w:lastRowLastColumn="0"/>
            </w:pPr>
            <w:r>
              <w:t>Caroline COMBE</w:t>
            </w:r>
          </w:p>
        </w:tc>
      </w:tr>
      <w:tr w:rsidR="007C0C4D" w14:paraId="75D8636E" w14:textId="77777777" w:rsidTr="007C0C4D">
        <w:trPr>
          <w:trHeight w:val="305"/>
        </w:trPr>
        <w:tc>
          <w:tcPr>
            <w:cnfStyle w:val="001000000000" w:firstRow="0" w:lastRow="0" w:firstColumn="1" w:lastColumn="0" w:oddVBand="0" w:evenVBand="0" w:oddHBand="0" w:evenHBand="0" w:firstRowFirstColumn="0" w:firstRowLastColumn="0" w:lastRowFirstColumn="0" w:lastRowLastColumn="0"/>
            <w:tcW w:w="3328" w:type="dxa"/>
          </w:tcPr>
          <w:p w14:paraId="1D2B8098" w14:textId="77777777" w:rsidR="007C0C4D" w:rsidRDefault="007C0C4D" w:rsidP="00332A1F">
            <w:r>
              <w:t>Qualité de vie</w:t>
            </w:r>
          </w:p>
        </w:tc>
        <w:tc>
          <w:tcPr>
            <w:tcW w:w="3270" w:type="dxa"/>
          </w:tcPr>
          <w:p w14:paraId="28F10795" w14:textId="77777777" w:rsidR="007C0C4D" w:rsidRDefault="007C0C4D" w:rsidP="00332A1F">
            <w:pPr>
              <w:cnfStyle w:val="000000000000" w:firstRow="0" w:lastRow="0" w:firstColumn="0" w:lastColumn="0" w:oddVBand="0" w:evenVBand="0" w:oddHBand="0" w:evenHBand="0" w:firstRowFirstColumn="0" w:firstRowLastColumn="0" w:lastRowFirstColumn="0" w:lastRowLastColumn="0"/>
            </w:pPr>
            <w:r w:rsidRPr="00D7640A">
              <w:t>Hygiène Santé SPANC</w:t>
            </w:r>
          </w:p>
        </w:tc>
        <w:tc>
          <w:tcPr>
            <w:tcW w:w="2721" w:type="dxa"/>
          </w:tcPr>
          <w:p w14:paraId="41BCBA18" w14:textId="0C686542" w:rsidR="007C0C4D" w:rsidRDefault="007C0C4D" w:rsidP="00332A1F">
            <w:pPr>
              <w:cnfStyle w:val="000000000000" w:firstRow="0" w:lastRow="0" w:firstColumn="0" w:lastColumn="0" w:oddVBand="0" w:evenVBand="0" w:oddHBand="0" w:evenHBand="0" w:firstRowFirstColumn="0" w:firstRowLastColumn="0" w:lastRowFirstColumn="0" w:lastRowLastColumn="0"/>
            </w:pPr>
            <w:r>
              <w:t>Catherine</w:t>
            </w:r>
            <w:r w:rsidRPr="00D7640A">
              <w:t xml:space="preserve"> JOYEUX</w:t>
            </w:r>
          </w:p>
        </w:tc>
      </w:tr>
      <w:tr w:rsidR="007C0C4D" w14:paraId="47D55058" w14:textId="77777777" w:rsidTr="007C0C4D">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8" w:type="dxa"/>
          </w:tcPr>
          <w:p w14:paraId="096B70B2" w14:textId="77777777" w:rsidR="007C0C4D" w:rsidRDefault="007C0C4D" w:rsidP="00332A1F">
            <w:r>
              <w:t>E</w:t>
            </w:r>
            <w:r w:rsidRPr="00D7640A">
              <w:t>quipements</w:t>
            </w:r>
            <w:r>
              <w:t xml:space="preserve"> -</w:t>
            </w:r>
            <w:r w:rsidRPr="00D7640A">
              <w:t xml:space="preserve"> Infrastructures </w:t>
            </w:r>
          </w:p>
        </w:tc>
        <w:tc>
          <w:tcPr>
            <w:tcW w:w="3270" w:type="dxa"/>
          </w:tcPr>
          <w:p w14:paraId="79CF0858" w14:textId="77777777" w:rsidR="007C0C4D" w:rsidRDefault="007C0C4D" w:rsidP="00332A1F">
            <w:pPr>
              <w:cnfStyle w:val="000000100000" w:firstRow="0" w:lastRow="0" w:firstColumn="0" w:lastColumn="0" w:oddVBand="0" w:evenVBand="0" w:oddHBand="1" w:evenHBand="0" w:firstRowFirstColumn="0" w:firstRowLastColumn="0" w:lastRowFirstColumn="0" w:lastRowLastColumn="0"/>
            </w:pPr>
            <w:r>
              <w:t>Eau - Assainissement</w:t>
            </w:r>
          </w:p>
        </w:tc>
        <w:tc>
          <w:tcPr>
            <w:tcW w:w="2721" w:type="dxa"/>
          </w:tcPr>
          <w:p w14:paraId="4A93C8A9" w14:textId="6B4C2266" w:rsidR="007C0C4D" w:rsidRPr="007C0C4D" w:rsidRDefault="007C0C4D" w:rsidP="00332A1F">
            <w:pPr>
              <w:cnfStyle w:val="000000100000" w:firstRow="0" w:lastRow="0" w:firstColumn="0" w:lastColumn="0" w:oddVBand="0" w:evenVBand="0" w:oddHBand="1" w:evenHBand="0" w:firstRowFirstColumn="0" w:firstRowLastColumn="0" w:lastRowFirstColumn="0" w:lastRowLastColumn="0"/>
            </w:pPr>
            <w:r>
              <w:t>Xavier BURBAN</w:t>
            </w:r>
          </w:p>
        </w:tc>
      </w:tr>
    </w:tbl>
    <w:p w14:paraId="703B2C68" w14:textId="292394D5" w:rsidR="00517D28" w:rsidRDefault="00517D28" w:rsidP="00AB4D3F"/>
    <w:p w14:paraId="55117D61" w14:textId="1B03CF74" w:rsidR="00517D28" w:rsidRDefault="00517D28" w:rsidP="00AB4D3F"/>
    <w:p w14:paraId="7C3A471D" w14:textId="77777777" w:rsidR="00517D28" w:rsidRDefault="00517D28" w:rsidP="00AB4D3F"/>
    <w:p w14:paraId="28C4A96F" w14:textId="77777777" w:rsidR="00AB4D3F" w:rsidRDefault="00AB4D3F"/>
    <w:p w14:paraId="2C159015" w14:textId="77777777" w:rsidR="00AB4D3F" w:rsidRDefault="00AB4D3F">
      <w:pPr>
        <w:sectPr w:rsidR="00AB4D3F">
          <w:headerReference w:type="default" r:id="rId7"/>
          <w:footerReference w:type="default" r:id="rId8"/>
          <w:pgSz w:w="11906" w:h="16838"/>
          <w:pgMar w:top="1417" w:right="1417" w:bottom="1417" w:left="1417" w:header="708" w:footer="708" w:gutter="0"/>
          <w:cols w:space="708"/>
          <w:docGrid w:linePitch="360"/>
        </w:sectPr>
      </w:pPr>
    </w:p>
    <w:p w14:paraId="0C9096F2" w14:textId="185ADC99" w:rsidR="00AB4D3F" w:rsidRDefault="00AB4D3F">
      <w:r>
        <w:rPr>
          <w:noProof/>
        </w:rPr>
        <w:lastRenderedPageBreak/>
        <mc:AlternateContent>
          <mc:Choice Requires="wps">
            <w:drawing>
              <wp:anchor distT="0" distB="0" distL="114300" distR="114300" simplePos="0" relativeHeight="251661312" behindDoc="0" locked="0" layoutInCell="1" allowOverlap="1" wp14:anchorId="229141E5" wp14:editId="02FDA90B">
                <wp:simplePos x="0" y="0"/>
                <wp:positionH relativeFrom="column">
                  <wp:posOffset>1394672</wp:posOffset>
                </wp:positionH>
                <wp:positionV relativeFrom="paragraph">
                  <wp:posOffset>4094480</wp:posOffset>
                </wp:positionV>
                <wp:extent cx="1159510" cy="533400"/>
                <wp:effectExtent l="0" t="0" r="21590" b="19050"/>
                <wp:wrapNone/>
                <wp:docPr id="3" name="Rectangle : coins arrondis 3"/>
                <wp:cNvGraphicFramePr/>
                <a:graphic xmlns:a="http://schemas.openxmlformats.org/drawingml/2006/main">
                  <a:graphicData uri="http://schemas.microsoft.com/office/word/2010/wordprocessingShape">
                    <wps:wsp>
                      <wps:cNvSpPr/>
                      <wps:spPr>
                        <a:xfrm>
                          <a:off x="0" y="0"/>
                          <a:ext cx="1159510" cy="533400"/>
                        </a:xfrm>
                        <a:prstGeom prst="roundRect">
                          <a:avLst/>
                        </a:prstGeom>
                        <a:solidFill>
                          <a:srgbClr val="FF0000">
                            <a:alpha val="2902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0D0065" id="Rectangle : coins arrondis 3" o:spid="_x0000_s1026" style="position:absolute;margin-left:109.8pt;margin-top:322.4pt;width:91.3pt;height: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" fillcolor="red" strokecolor="red" strokeweight="1pt">
                <v:fill opacity="19018f"/>
                <v:stroke joinstyle="miter"/>
              </v:roundrect>
            </w:pict>
          </mc:Fallback>
        </mc:AlternateContent>
      </w:r>
      <w:r>
        <w:rPr>
          <w:noProof/>
        </w:rPr>
        <mc:AlternateContent>
          <mc:Choice Requires="wps">
            <w:drawing>
              <wp:anchor distT="0" distB="0" distL="114300" distR="114300" simplePos="0" relativeHeight="251663360" behindDoc="0" locked="0" layoutInCell="1" allowOverlap="1" wp14:anchorId="1A4D806B" wp14:editId="09567677">
                <wp:simplePos x="0" y="0"/>
                <wp:positionH relativeFrom="column">
                  <wp:posOffset>5094393</wp:posOffset>
                </wp:positionH>
                <wp:positionV relativeFrom="paragraph">
                  <wp:posOffset>4104005</wp:posOffset>
                </wp:positionV>
                <wp:extent cx="1159933" cy="406400"/>
                <wp:effectExtent l="0" t="0" r="21590" b="12700"/>
                <wp:wrapNone/>
                <wp:docPr id="4" name="Rectangle : coins arrondis 4"/>
                <wp:cNvGraphicFramePr/>
                <a:graphic xmlns:a="http://schemas.openxmlformats.org/drawingml/2006/main">
                  <a:graphicData uri="http://schemas.microsoft.com/office/word/2010/wordprocessingShape">
                    <wps:wsp>
                      <wps:cNvSpPr/>
                      <wps:spPr>
                        <a:xfrm>
                          <a:off x="0" y="0"/>
                          <a:ext cx="1159933" cy="406400"/>
                        </a:xfrm>
                        <a:prstGeom prst="roundRect">
                          <a:avLst/>
                        </a:prstGeom>
                        <a:solidFill>
                          <a:srgbClr val="FF0000">
                            <a:alpha val="2902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CC5531" id="Rectangle : coins arrondis 4" o:spid="_x0000_s1026" style="position:absolute;margin-left:401.15pt;margin-top:323.15pt;width:91.35pt;height:3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" fillcolor="red" strokecolor="red" strokeweight="1pt">
                <v:fill opacity="19018f"/>
                <v:stroke joinstyle="miter"/>
              </v:roundrect>
            </w:pict>
          </mc:Fallback>
        </mc:AlternateContent>
      </w:r>
      <w:r>
        <w:rPr>
          <w:noProof/>
        </w:rPr>
        <mc:AlternateContent>
          <mc:Choice Requires="wps">
            <w:drawing>
              <wp:anchor distT="0" distB="0" distL="114300" distR="114300" simplePos="0" relativeHeight="251659264" behindDoc="0" locked="0" layoutInCell="1" allowOverlap="1" wp14:anchorId="1EFA7D33" wp14:editId="309C73D7">
                <wp:simplePos x="0" y="0"/>
                <wp:positionH relativeFrom="column">
                  <wp:posOffset>124672</wp:posOffset>
                </wp:positionH>
                <wp:positionV relativeFrom="paragraph">
                  <wp:posOffset>4746413</wp:posOffset>
                </wp:positionV>
                <wp:extent cx="1159933" cy="406400"/>
                <wp:effectExtent l="0" t="0" r="21590" b="12700"/>
                <wp:wrapNone/>
                <wp:docPr id="2" name="Rectangle : coins arrondis 2"/>
                <wp:cNvGraphicFramePr/>
                <a:graphic xmlns:a="http://schemas.openxmlformats.org/drawingml/2006/main">
                  <a:graphicData uri="http://schemas.microsoft.com/office/word/2010/wordprocessingShape">
                    <wps:wsp>
                      <wps:cNvSpPr/>
                      <wps:spPr>
                        <a:xfrm>
                          <a:off x="0" y="0"/>
                          <a:ext cx="1159933" cy="406400"/>
                        </a:xfrm>
                        <a:prstGeom prst="roundRect">
                          <a:avLst/>
                        </a:prstGeom>
                        <a:solidFill>
                          <a:srgbClr val="FF0000">
                            <a:alpha val="2902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14B942" id="Rectangle : coins arrondis 2" o:spid="_x0000_s1026" style="position:absolute;margin-left:9.8pt;margin-top:373.75pt;width:91.35pt;height:3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" fillcolor="red" strokecolor="red" strokeweight="1pt">
                <v:fill opacity="19018f"/>
                <v:stroke joinstyle="miter"/>
              </v:roundrect>
            </w:pict>
          </mc:Fallback>
        </mc:AlternateContent>
      </w:r>
      <w:r>
        <w:rPr>
          <w:noProof/>
        </w:rPr>
        <w:drawing>
          <wp:inline distT="0" distB="0" distL="0" distR="0" wp14:anchorId="0CFF2EFB" wp14:editId="6A95CB6D">
            <wp:extent cx="7202805" cy="57607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202805" cy="5760720"/>
                    </a:xfrm>
                    <a:prstGeom prst="rect">
                      <a:avLst/>
                    </a:prstGeom>
                  </pic:spPr>
                </pic:pic>
              </a:graphicData>
            </a:graphic>
          </wp:inline>
        </w:drawing>
      </w:r>
    </w:p>
    <w:p w14:paraId="7CC3D737" w14:textId="77777777" w:rsidR="00AB4D3F" w:rsidRDefault="00AB4D3F">
      <w:pPr>
        <w:sectPr w:rsidR="00AB4D3F" w:rsidSect="00AB4D3F">
          <w:pgSz w:w="16838" w:h="11906" w:orient="landscape"/>
          <w:pgMar w:top="1417" w:right="1417" w:bottom="1417" w:left="1417" w:header="708" w:footer="708" w:gutter="0"/>
          <w:cols w:space="708"/>
          <w:docGrid w:linePitch="360"/>
        </w:sectPr>
      </w:pPr>
    </w:p>
    <w:p w14:paraId="1B07CED6" w14:textId="77C729DC" w:rsidR="007C0C4D" w:rsidRDefault="007C0C4D" w:rsidP="007C0C4D">
      <w:pPr>
        <w:jc w:val="both"/>
      </w:pPr>
      <w:r>
        <w:lastRenderedPageBreak/>
        <w:t xml:space="preserve">La mission de </w:t>
      </w:r>
      <w:r w:rsidRPr="00AF744B">
        <w:rPr>
          <w:b/>
        </w:rPr>
        <w:t>contrat de territoire</w:t>
      </w:r>
      <w:r>
        <w:t xml:space="preserve"> est liée</w:t>
      </w:r>
      <w:r w:rsidR="00AF744B">
        <w:t xml:space="preserve"> </w:t>
      </w:r>
      <w:r>
        <w:t xml:space="preserve">au suivi de la présente étude </w:t>
      </w:r>
      <w:r w:rsidRPr="007C0C4D">
        <w:t>pour une gestion durable des services publics d’eau et d’assainissement pour répondre aux problématiques de pollutions des milieux aquatiques</w:t>
      </w:r>
      <w:r>
        <w:t>, en partenariat avec l’Agence de l’Eau.</w:t>
      </w:r>
    </w:p>
    <w:p w14:paraId="00EEDBB7" w14:textId="74AB90C6" w:rsidR="00AB4D3F" w:rsidRDefault="00AB4D3F" w:rsidP="007C0C4D">
      <w:pPr>
        <w:jc w:val="both"/>
      </w:pPr>
    </w:p>
    <w:p w14:paraId="1C4FDA6E" w14:textId="1F97C8E1" w:rsidR="007C0C4D" w:rsidRDefault="007C0C4D" w:rsidP="007C0C4D">
      <w:r>
        <w:t>Les missions conduites par le service « </w:t>
      </w:r>
      <w:r w:rsidRPr="00AF744B">
        <w:rPr>
          <w:b/>
        </w:rPr>
        <w:t>hygiène – santé – SPANC</w:t>
      </w:r>
      <w:r>
        <w:t> », dirigé par Catherine JOYEUX, sont les suivantes :</w:t>
      </w:r>
    </w:p>
    <w:p w14:paraId="4282DEAF" w14:textId="0761112C" w:rsidR="007C0C4D" w:rsidRPr="00C15314" w:rsidRDefault="007C0C4D" w:rsidP="007C0C4D">
      <w:pPr>
        <w:pStyle w:val="Paragraphedeliste"/>
        <w:numPr>
          <w:ilvl w:val="0"/>
          <w:numId w:val="1"/>
        </w:numPr>
        <w:rPr>
          <w:i/>
        </w:rPr>
      </w:pPr>
      <w:r w:rsidRPr="00C15314">
        <w:rPr>
          <w:i/>
        </w:rPr>
        <w:t>Hygiène alimentaire (</w:t>
      </w:r>
      <w:r>
        <w:rPr>
          <w:i/>
        </w:rPr>
        <w:t>hors compétence assainissement</w:t>
      </w:r>
      <w:r w:rsidRPr="00C15314">
        <w:rPr>
          <w:i/>
        </w:rPr>
        <w:t>)</w:t>
      </w:r>
    </w:p>
    <w:p w14:paraId="31A5AD5A" w14:textId="43792F5D" w:rsidR="007C0C4D" w:rsidRPr="00C15314" w:rsidRDefault="007C0C4D" w:rsidP="007C0C4D">
      <w:pPr>
        <w:pStyle w:val="Paragraphedeliste"/>
        <w:numPr>
          <w:ilvl w:val="0"/>
          <w:numId w:val="1"/>
        </w:numPr>
        <w:rPr>
          <w:i/>
        </w:rPr>
      </w:pPr>
      <w:r w:rsidRPr="00C15314">
        <w:rPr>
          <w:i/>
        </w:rPr>
        <w:t>Hygiène habitat</w:t>
      </w:r>
      <w:r>
        <w:rPr>
          <w:i/>
        </w:rPr>
        <w:t xml:space="preserve"> </w:t>
      </w:r>
      <w:r w:rsidRPr="00C15314">
        <w:rPr>
          <w:i/>
        </w:rPr>
        <w:t>(</w:t>
      </w:r>
      <w:r>
        <w:rPr>
          <w:i/>
        </w:rPr>
        <w:t>hors compétence assainissement</w:t>
      </w:r>
      <w:r w:rsidRPr="00C15314">
        <w:rPr>
          <w:i/>
        </w:rPr>
        <w:t>)</w:t>
      </w:r>
    </w:p>
    <w:p w14:paraId="3BF81E00" w14:textId="19AB1BAD" w:rsidR="007C0C4D" w:rsidRPr="007C0C4D" w:rsidRDefault="007C0C4D" w:rsidP="007C0C4D">
      <w:pPr>
        <w:pStyle w:val="Paragraphedeliste"/>
        <w:numPr>
          <w:ilvl w:val="0"/>
          <w:numId w:val="1"/>
        </w:numPr>
      </w:pPr>
      <w:r w:rsidRPr="007C0C4D">
        <w:t xml:space="preserve">Suivi des pollutions du milieu naturel =&gt; </w:t>
      </w:r>
      <w:r w:rsidRPr="00EB205A">
        <w:rPr>
          <w:u w:val="single"/>
        </w:rPr>
        <w:t>1 agent</w:t>
      </w:r>
      <w:r w:rsidRPr="007C0C4D">
        <w:t xml:space="preserve"> (M. </w:t>
      </w:r>
      <w:proofErr w:type="spellStart"/>
      <w:r w:rsidRPr="007C0C4D">
        <w:t>Maliki</w:t>
      </w:r>
      <w:proofErr w:type="spellEnd"/>
      <w:r w:rsidRPr="007C0C4D">
        <w:t>)</w:t>
      </w:r>
    </w:p>
    <w:p w14:paraId="412E1BDE" w14:textId="117CD8BD" w:rsidR="007C0C4D" w:rsidRPr="007C0C4D" w:rsidRDefault="007C0C4D" w:rsidP="007C0C4D">
      <w:pPr>
        <w:pStyle w:val="Paragraphedeliste"/>
        <w:numPr>
          <w:ilvl w:val="0"/>
          <w:numId w:val="1"/>
        </w:numPr>
      </w:pPr>
      <w:r w:rsidRPr="007C0C4D">
        <w:t xml:space="preserve">Service Public d’Assainissement Non Collectif (SPANC) =&gt; </w:t>
      </w:r>
      <w:r w:rsidRPr="00EB205A">
        <w:rPr>
          <w:u w:val="single"/>
        </w:rPr>
        <w:t>1 agent</w:t>
      </w:r>
      <w:r w:rsidRPr="007C0C4D">
        <w:t xml:space="preserve"> à ce jour, avec </w:t>
      </w:r>
      <w:r w:rsidRPr="00EB205A">
        <w:rPr>
          <w:u w:val="single"/>
        </w:rPr>
        <w:t>volonté de recrutement d’un 2</w:t>
      </w:r>
      <w:r w:rsidRPr="00EB205A">
        <w:rPr>
          <w:u w:val="single"/>
          <w:vertAlign w:val="superscript"/>
        </w:rPr>
        <w:t>e</w:t>
      </w:r>
      <w:r w:rsidRPr="00EB205A">
        <w:rPr>
          <w:u w:val="single"/>
        </w:rPr>
        <w:t xml:space="preserve"> agent</w:t>
      </w:r>
      <w:r w:rsidR="00EB205A">
        <w:t xml:space="preserve"> (difficulté à pourvoir ce poste)</w:t>
      </w:r>
    </w:p>
    <w:p w14:paraId="1EFEAF04" w14:textId="7E294688" w:rsidR="00EB205A" w:rsidRDefault="00EB205A" w:rsidP="007C0C4D">
      <w:pPr>
        <w:jc w:val="both"/>
      </w:pPr>
    </w:p>
    <w:p w14:paraId="2AC370CD" w14:textId="5919307A" w:rsidR="00EB205A" w:rsidRDefault="00EB205A" w:rsidP="00EB205A">
      <w:r>
        <w:t>Les missions conduites par le service « </w:t>
      </w:r>
      <w:r w:rsidRPr="00AF744B">
        <w:rPr>
          <w:b/>
        </w:rPr>
        <w:t>eau – assainissement</w:t>
      </w:r>
      <w:r>
        <w:t> », dirigé par Xavier BURBAN, sont les suivantes :</w:t>
      </w:r>
    </w:p>
    <w:p w14:paraId="2EA67132" w14:textId="36AE2916" w:rsidR="00EB205A" w:rsidRDefault="00EB205A" w:rsidP="00EB205A">
      <w:pPr>
        <w:pStyle w:val="Paragraphedeliste"/>
        <w:numPr>
          <w:ilvl w:val="0"/>
          <w:numId w:val="1"/>
        </w:numPr>
      </w:pPr>
      <w:r w:rsidRPr="00EB205A">
        <w:t>Suivi de</w:t>
      </w:r>
      <w:r>
        <w:t>s contrats de délégation de service public conclus avec Veolia</w:t>
      </w:r>
    </w:p>
    <w:p w14:paraId="70F5A874" w14:textId="7880E5B7" w:rsidR="00EB205A" w:rsidRPr="00EB205A" w:rsidRDefault="00EB205A" w:rsidP="00EB205A">
      <w:pPr>
        <w:pStyle w:val="Paragraphedeliste"/>
        <w:numPr>
          <w:ilvl w:val="0"/>
          <w:numId w:val="1"/>
        </w:numPr>
      </w:pPr>
      <w:r w:rsidRPr="00EB205A">
        <w:t>Suivi de</w:t>
      </w:r>
      <w:r>
        <w:t>s</w:t>
      </w:r>
      <w:r w:rsidRPr="00EB205A">
        <w:t xml:space="preserve"> travaux</w:t>
      </w:r>
      <w:r>
        <w:t xml:space="preserve"> menés par la CAVEM sur les ouvrages et le réseau d’eau potable et d’assainissement</w:t>
      </w:r>
      <w:r w:rsidRPr="00EB205A">
        <w:t xml:space="preserve"> </w:t>
      </w:r>
      <w:r w:rsidR="00AF744B">
        <w:t>– maitrise d’ouvrage</w:t>
      </w:r>
    </w:p>
    <w:p w14:paraId="28930BE7" w14:textId="08DBD639" w:rsidR="00EB205A" w:rsidRDefault="00EB205A" w:rsidP="00EB205A">
      <w:pPr>
        <w:jc w:val="both"/>
      </w:pPr>
      <w:r>
        <w:t xml:space="preserve">Ce service « eau – assainissement » est composé de </w:t>
      </w:r>
      <w:r w:rsidRPr="00AF744B">
        <w:rPr>
          <w:u w:val="single"/>
        </w:rPr>
        <w:t>3 agents</w:t>
      </w:r>
      <w:r>
        <w:t xml:space="preserve">, y compris M. </w:t>
      </w:r>
      <w:proofErr w:type="spellStart"/>
      <w:r>
        <w:t>Burban</w:t>
      </w:r>
      <w:proofErr w:type="spellEnd"/>
      <w:r>
        <w:t>, dont 1 qui partira prochainement à la retraite.</w:t>
      </w:r>
    </w:p>
    <w:p w14:paraId="74B5FC54" w14:textId="049E287E" w:rsidR="00EB205A" w:rsidRDefault="00EB205A" w:rsidP="00EB205A">
      <w:pPr>
        <w:jc w:val="both"/>
      </w:pPr>
    </w:p>
    <w:p w14:paraId="4284148F" w14:textId="27A6EB4D" w:rsidR="00EB205A" w:rsidRDefault="00EB205A" w:rsidP="00EB205A">
      <w:pPr>
        <w:jc w:val="both"/>
      </w:pPr>
      <w:r>
        <w:t xml:space="preserve">A ce jour, le constat </w:t>
      </w:r>
      <w:r w:rsidR="00C056DF">
        <w:t>partagé avec les services concernés fait état :</w:t>
      </w:r>
    </w:p>
    <w:p w14:paraId="499DB985" w14:textId="3F27B33C" w:rsidR="00C056DF" w:rsidRDefault="00C056DF" w:rsidP="00C056DF">
      <w:pPr>
        <w:pStyle w:val="Paragraphedeliste"/>
        <w:numPr>
          <w:ilvl w:val="0"/>
          <w:numId w:val="1"/>
        </w:numPr>
        <w:jc w:val="both"/>
      </w:pPr>
      <w:r>
        <w:t>D’un manque de disponibilité des agents pour mener de nouvelles missions, au vu du volume déjà conséquent des missions actuelles</w:t>
      </w:r>
      <w:r w:rsidR="00AF744B">
        <w:t xml:space="preserve"> à mener</w:t>
      </w:r>
    </w:p>
    <w:p w14:paraId="0DD027E5" w14:textId="0EAB8225" w:rsidR="00C056DF" w:rsidRDefault="00C056DF" w:rsidP="00C056DF">
      <w:pPr>
        <w:pStyle w:val="Paragraphedeliste"/>
        <w:numPr>
          <w:ilvl w:val="0"/>
          <w:numId w:val="1"/>
        </w:numPr>
        <w:jc w:val="both"/>
      </w:pPr>
      <w:r>
        <w:t xml:space="preserve">D’un manque de compétence sur la problématique « assainissement non domestique / industriel » - les agents ont à ce jour un profil « eaux usées domestiques » </w:t>
      </w:r>
    </w:p>
    <w:p w14:paraId="64AC83EE" w14:textId="5E249C3A" w:rsidR="00C056DF" w:rsidRDefault="00C056DF" w:rsidP="00C056DF">
      <w:pPr>
        <w:pStyle w:val="Paragraphedeliste"/>
        <w:numPr>
          <w:ilvl w:val="0"/>
          <w:numId w:val="1"/>
        </w:numPr>
        <w:jc w:val="both"/>
      </w:pPr>
      <w:r>
        <w:t>Pour la piste de recrutement d’un agent sur le service SPANC : d’une difficulté à trouver un profil technicien SPANC, difficulté qui serait largement amplifiée en incluant comme critère de recherche un double profil SPANC / Industriel</w:t>
      </w:r>
    </w:p>
    <w:p w14:paraId="685BE5FD" w14:textId="604B65E5" w:rsidR="00EB205A" w:rsidRDefault="00EB205A" w:rsidP="007C0C4D">
      <w:pPr>
        <w:jc w:val="both"/>
      </w:pPr>
    </w:p>
    <w:p w14:paraId="4790DA15" w14:textId="09C0BC53" w:rsidR="00D6424E" w:rsidRDefault="00D6424E" w:rsidP="007C0C4D">
      <w:pPr>
        <w:jc w:val="both"/>
      </w:pPr>
      <w:r>
        <w:t>Ainsi, il apparait difficile d’envisager la réalisation, en interne par les services CAVEM, d’une mission de diagnostic des usagers émetteurs prioritaires de substances polluantes</w:t>
      </w:r>
      <w:r w:rsidR="00DE57C2">
        <w:t>, puis de conventionnement avec ces usagers, et de suivi de l’application de ces conventions spéciales de déversement.</w:t>
      </w:r>
    </w:p>
    <w:p w14:paraId="16A0AE25" w14:textId="77777777" w:rsidR="007C0C4D" w:rsidRDefault="007C0C4D" w:rsidP="007C0C4D">
      <w:pPr>
        <w:jc w:val="both"/>
      </w:pPr>
    </w:p>
    <w:p w14:paraId="685082AE" w14:textId="44BDA7AA" w:rsidR="00AB4D3F" w:rsidRPr="00AF744B" w:rsidRDefault="00AF744B" w:rsidP="007C0C4D">
      <w:pPr>
        <w:jc w:val="both"/>
        <w:rPr>
          <w:b/>
          <w:u w:val="single"/>
        </w:rPr>
      </w:pPr>
      <w:r w:rsidRPr="00AF744B">
        <w:rPr>
          <w:b/>
          <w:u w:val="single"/>
        </w:rPr>
        <w:t>Exploitation des services d’assainissement collectif de la CAVEM :</w:t>
      </w:r>
    </w:p>
    <w:p w14:paraId="3AD5F947" w14:textId="7427FFF7" w:rsidR="00AF744B" w:rsidRDefault="00941B50" w:rsidP="007C0C4D">
      <w:pPr>
        <w:jc w:val="both"/>
      </w:pPr>
      <w:r>
        <w:t>L</w:t>
      </w:r>
      <w:r w:rsidR="00AF744B" w:rsidRPr="00AF744B">
        <w:t>a CAVEM a délégué l’exploitation de ses services d’assainissement collectif via 4 contrats de délégation de service public, tous confiés à la société Veolia Eau</w:t>
      </w:r>
      <w:r w:rsidR="00AF744B">
        <w:t xml:space="preserve"> – Compagnie Méditerranéenne d’Exploitation des Services d’Eau (CMESE)</w:t>
      </w:r>
      <w:r w:rsidR="00AF744B" w:rsidRPr="00AF744B">
        <w:t>.</w:t>
      </w:r>
    </w:p>
    <w:p w14:paraId="60EDA32C" w14:textId="6A9047F4" w:rsidR="00941B50" w:rsidRDefault="00941B50" w:rsidP="007C0C4D">
      <w:pPr>
        <w:jc w:val="both"/>
      </w:pPr>
      <w:r>
        <w:t>Les principales caractéristiques de chaque contrat, en particulier les dispositions relatives aux abonnés non domestiques, sont présentées dans le tableau ci-dessous :</w:t>
      </w:r>
    </w:p>
    <w:p w14:paraId="5FF556F0" w14:textId="77777777" w:rsidR="00941B50" w:rsidRDefault="00941B50" w:rsidP="007C0C4D">
      <w:pPr>
        <w:jc w:val="both"/>
        <w:sectPr w:rsidR="00941B50">
          <w:pgSz w:w="11906" w:h="16838"/>
          <w:pgMar w:top="1417" w:right="1417" w:bottom="1417" w:left="1417" w:header="708" w:footer="708" w:gutter="0"/>
          <w:cols w:space="708"/>
          <w:docGrid w:linePitch="360"/>
        </w:sectPr>
      </w:pPr>
    </w:p>
    <w:p w14:paraId="66B5EE9E" w14:textId="77777777" w:rsidR="00941B50" w:rsidRDefault="00941B50" w:rsidP="007C0C4D">
      <w:pPr>
        <w:jc w:val="both"/>
      </w:pPr>
    </w:p>
    <w:tbl>
      <w:tblPr>
        <w:tblStyle w:val="TableauGrille4-Accentuation5"/>
        <w:tblW w:w="0" w:type="auto"/>
        <w:tblLook w:val="04A0" w:firstRow="1" w:lastRow="0" w:firstColumn="1" w:lastColumn="0" w:noHBand="0" w:noVBand="1"/>
      </w:tblPr>
      <w:tblGrid>
        <w:gridCol w:w="3042"/>
        <w:gridCol w:w="2643"/>
        <w:gridCol w:w="2643"/>
        <w:gridCol w:w="2643"/>
        <w:gridCol w:w="2644"/>
      </w:tblGrid>
      <w:tr w:rsidR="00941B50" w:rsidRPr="00962D73" w14:paraId="7F4E5BB5" w14:textId="77777777" w:rsidTr="00D6424E">
        <w:trPr>
          <w:cnfStyle w:val="100000000000" w:firstRow="1" w:lastRow="0" w:firstColumn="0" w:lastColumn="0" w:oddVBand="0" w:evenVBand="0" w:oddHBand="0" w:evenHBand="0" w:firstRowFirstColumn="0" w:firstRowLastColumn="0" w:lastRowFirstColumn="0" w:lastRowLastColumn="0"/>
          <w:trHeight w:val="493"/>
          <w:tblHeader/>
        </w:trPr>
        <w:tc>
          <w:tcPr>
            <w:cnfStyle w:val="001000000000" w:firstRow="0" w:lastRow="0" w:firstColumn="1" w:lastColumn="0" w:oddVBand="0" w:evenVBand="0" w:oddHBand="0" w:evenHBand="0" w:firstRowFirstColumn="0" w:firstRowLastColumn="0" w:lastRowFirstColumn="0" w:lastRowLastColumn="0"/>
            <w:tcW w:w="3042" w:type="dxa"/>
          </w:tcPr>
          <w:p w14:paraId="08B1E0E7" w14:textId="41D07D8F" w:rsidR="00941B50" w:rsidRPr="00D27B7B" w:rsidRDefault="00941B50" w:rsidP="00332A1F">
            <w:pPr>
              <w:rPr>
                <w:rFonts w:cstheme="minorHAnsi"/>
              </w:rPr>
            </w:pPr>
            <w:r w:rsidRPr="00D27B7B">
              <w:rPr>
                <w:rFonts w:cstheme="minorHAnsi"/>
              </w:rPr>
              <w:t xml:space="preserve">Contrat </w:t>
            </w:r>
            <w:r w:rsidR="00D27B7B" w:rsidRPr="00D27B7B">
              <w:rPr>
                <w:rFonts w:cstheme="minorHAnsi"/>
              </w:rPr>
              <w:t>DSP</w:t>
            </w:r>
          </w:p>
        </w:tc>
        <w:tc>
          <w:tcPr>
            <w:tcW w:w="2643" w:type="dxa"/>
          </w:tcPr>
          <w:p w14:paraId="2B0DB55E" w14:textId="77777777" w:rsidR="00941B50" w:rsidRPr="00962D73" w:rsidRDefault="00941B50" w:rsidP="00332A1F">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Les Adrets de l’Estérel</w:t>
            </w:r>
          </w:p>
        </w:tc>
        <w:tc>
          <w:tcPr>
            <w:tcW w:w="2643" w:type="dxa"/>
          </w:tcPr>
          <w:p w14:paraId="47F39A82" w14:textId="77777777" w:rsidR="00941B50" w:rsidRPr="00962D73" w:rsidRDefault="00941B50" w:rsidP="00332A1F">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Fréjus / St Raphael</w:t>
            </w:r>
          </w:p>
        </w:tc>
        <w:tc>
          <w:tcPr>
            <w:tcW w:w="2643" w:type="dxa"/>
          </w:tcPr>
          <w:p w14:paraId="677B5261" w14:textId="77777777" w:rsidR="00941B50" w:rsidRPr="00962D73" w:rsidRDefault="00941B50" w:rsidP="00332A1F">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Puget sur Argens</w:t>
            </w:r>
          </w:p>
        </w:tc>
        <w:tc>
          <w:tcPr>
            <w:tcW w:w="2644" w:type="dxa"/>
          </w:tcPr>
          <w:p w14:paraId="01143553" w14:textId="77777777" w:rsidR="00941B50" w:rsidRPr="00962D73" w:rsidRDefault="00941B50" w:rsidP="00332A1F">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Roquebrune sur Argens</w:t>
            </w:r>
          </w:p>
        </w:tc>
      </w:tr>
      <w:tr w:rsidR="00941B50" w:rsidRPr="00962D73" w14:paraId="2FEC0FFC" w14:textId="77777777" w:rsidTr="00332A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042" w:type="dxa"/>
          </w:tcPr>
          <w:p w14:paraId="7C21358C" w14:textId="77777777" w:rsidR="00941B50" w:rsidRPr="00962D73" w:rsidRDefault="00941B50" w:rsidP="00332A1F">
            <w:pPr>
              <w:rPr>
                <w:rFonts w:cstheme="minorHAnsi"/>
              </w:rPr>
            </w:pPr>
            <w:r w:rsidRPr="00962D73">
              <w:rPr>
                <w:rFonts w:cstheme="minorHAnsi"/>
              </w:rPr>
              <w:t>date début</w:t>
            </w:r>
          </w:p>
        </w:tc>
        <w:tc>
          <w:tcPr>
            <w:tcW w:w="2643" w:type="dxa"/>
          </w:tcPr>
          <w:p w14:paraId="21103EE9"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01/01/2018</w:t>
            </w:r>
          </w:p>
        </w:tc>
        <w:tc>
          <w:tcPr>
            <w:tcW w:w="2643" w:type="dxa"/>
          </w:tcPr>
          <w:p w14:paraId="074A3EA6"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01/09/2006</w:t>
            </w:r>
          </w:p>
        </w:tc>
        <w:tc>
          <w:tcPr>
            <w:tcW w:w="2643" w:type="dxa"/>
          </w:tcPr>
          <w:p w14:paraId="46521D27"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01/04/2017</w:t>
            </w:r>
          </w:p>
        </w:tc>
        <w:tc>
          <w:tcPr>
            <w:tcW w:w="2644" w:type="dxa"/>
          </w:tcPr>
          <w:p w14:paraId="57353982"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01/01/2005</w:t>
            </w:r>
          </w:p>
        </w:tc>
      </w:tr>
      <w:tr w:rsidR="00941B50" w:rsidRPr="00962D73" w14:paraId="644A201B" w14:textId="77777777" w:rsidTr="00332A1F">
        <w:trPr>
          <w:trHeight w:val="516"/>
        </w:trPr>
        <w:tc>
          <w:tcPr>
            <w:cnfStyle w:val="001000000000" w:firstRow="0" w:lastRow="0" w:firstColumn="1" w:lastColumn="0" w:oddVBand="0" w:evenVBand="0" w:oddHBand="0" w:evenHBand="0" w:firstRowFirstColumn="0" w:firstRowLastColumn="0" w:lastRowFirstColumn="0" w:lastRowLastColumn="0"/>
            <w:tcW w:w="3042" w:type="dxa"/>
          </w:tcPr>
          <w:p w14:paraId="0E2E15A2" w14:textId="77777777" w:rsidR="00941B50" w:rsidRPr="00962D73" w:rsidRDefault="00941B50" w:rsidP="00332A1F">
            <w:pPr>
              <w:rPr>
                <w:rFonts w:cstheme="minorHAnsi"/>
              </w:rPr>
            </w:pPr>
            <w:r w:rsidRPr="00962D73">
              <w:rPr>
                <w:rFonts w:cstheme="minorHAnsi"/>
              </w:rPr>
              <w:t>date fin</w:t>
            </w:r>
          </w:p>
        </w:tc>
        <w:tc>
          <w:tcPr>
            <w:tcW w:w="2643" w:type="dxa"/>
          </w:tcPr>
          <w:p w14:paraId="1900AE96"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31/12/2025</w:t>
            </w:r>
          </w:p>
        </w:tc>
        <w:tc>
          <w:tcPr>
            <w:tcW w:w="2643" w:type="dxa"/>
          </w:tcPr>
          <w:p w14:paraId="4A3675F3"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31/12/2025</w:t>
            </w:r>
          </w:p>
        </w:tc>
        <w:tc>
          <w:tcPr>
            <w:tcW w:w="2643" w:type="dxa"/>
          </w:tcPr>
          <w:p w14:paraId="2657D3BB"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31/12/2025</w:t>
            </w:r>
          </w:p>
        </w:tc>
        <w:tc>
          <w:tcPr>
            <w:tcW w:w="2644" w:type="dxa"/>
          </w:tcPr>
          <w:p w14:paraId="1262685B"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31/12/2024</w:t>
            </w:r>
          </w:p>
        </w:tc>
      </w:tr>
      <w:tr w:rsidR="00941B50" w:rsidRPr="00962D73" w14:paraId="51C016DE" w14:textId="77777777" w:rsidTr="00332A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042" w:type="dxa"/>
          </w:tcPr>
          <w:p w14:paraId="0ABE9CBB" w14:textId="77777777" w:rsidR="00941B50" w:rsidRPr="00962D73" w:rsidRDefault="00941B50" w:rsidP="00332A1F">
            <w:pPr>
              <w:rPr>
                <w:rFonts w:cstheme="minorHAnsi"/>
              </w:rPr>
            </w:pPr>
            <w:r w:rsidRPr="00962D73">
              <w:rPr>
                <w:rFonts w:cstheme="minorHAnsi"/>
              </w:rPr>
              <w:t>durée</w:t>
            </w:r>
          </w:p>
        </w:tc>
        <w:tc>
          <w:tcPr>
            <w:tcW w:w="2643" w:type="dxa"/>
          </w:tcPr>
          <w:p w14:paraId="4D8F5B25"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 ans</w:t>
            </w:r>
          </w:p>
        </w:tc>
        <w:tc>
          <w:tcPr>
            <w:tcW w:w="2643" w:type="dxa"/>
          </w:tcPr>
          <w:p w14:paraId="0FA8708A"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 ans et 3 mois</w:t>
            </w:r>
          </w:p>
        </w:tc>
        <w:tc>
          <w:tcPr>
            <w:tcW w:w="2643" w:type="dxa"/>
          </w:tcPr>
          <w:p w14:paraId="4BF2064B"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 ans et 9 mois</w:t>
            </w:r>
          </w:p>
        </w:tc>
        <w:tc>
          <w:tcPr>
            <w:tcW w:w="2644" w:type="dxa"/>
          </w:tcPr>
          <w:p w14:paraId="1EE852E0"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 ans</w:t>
            </w:r>
          </w:p>
        </w:tc>
      </w:tr>
      <w:tr w:rsidR="00941B50" w:rsidRPr="00962D73" w14:paraId="1493EC11" w14:textId="77777777" w:rsidTr="00332A1F">
        <w:trPr>
          <w:trHeight w:val="493"/>
        </w:trPr>
        <w:tc>
          <w:tcPr>
            <w:cnfStyle w:val="001000000000" w:firstRow="0" w:lastRow="0" w:firstColumn="1" w:lastColumn="0" w:oddVBand="0" w:evenVBand="0" w:oddHBand="0" w:evenHBand="0" w:firstRowFirstColumn="0" w:firstRowLastColumn="0" w:lastRowFirstColumn="0" w:lastRowLastColumn="0"/>
            <w:tcW w:w="3042" w:type="dxa"/>
          </w:tcPr>
          <w:p w14:paraId="513A2507" w14:textId="77777777" w:rsidR="00941B50" w:rsidRPr="00962D73" w:rsidRDefault="00941B50" w:rsidP="00332A1F">
            <w:pPr>
              <w:rPr>
                <w:rFonts w:cstheme="minorHAnsi"/>
              </w:rPr>
            </w:pPr>
            <w:r w:rsidRPr="00962D73">
              <w:rPr>
                <w:rFonts w:cstheme="minorHAnsi"/>
              </w:rPr>
              <w:t>Nombre d’abonnés</w:t>
            </w:r>
            <w:r>
              <w:rPr>
                <w:rFonts w:cstheme="minorHAnsi"/>
              </w:rPr>
              <w:t xml:space="preserve"> 2019</w:t>
            </w:r>
          </w:p>
        </w:tc>
        <w:tc>
          <w:tcPr>
            <w:tcW w:w="2643" w:type="dxa"/>
          </w:tcPr>
          <w:p w14:paraId="3EAB6A57"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572</w:t>
            </w:r>
          </w:p>
        </w:tc>
        <w:tc>
          <w:tcPr>
            <w:tcW w:w="2643" w:type="dxa"/>
          </w:tcPr>
          <w:p w14:paraId="511B5B8E"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33 968 </w:t>
            </w:r>
          </w:p>
        </w:tc>
        <w:tc>
          <w:tcPr>
            <w:tcW w:w="2643" w:type="dxa"/>
          </w:tcPr>
          <w:p w14:paraId="21942929"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3 204 </w:t>
            </w:r>
          </w:p>
        </w:tc>
        <w:tc>
          <w:tcPr>
            <w:tcW w:w="2644" w:type="dxa"/>
          </w:tcPr>
          <w:p w14:paraId="4BFBC3D0"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9 075 </w:t>
            </w:r>
          </w:p>
        </w:tc>
      </w:tr>
      <w:tr w:rsidR="00941B50" w:rsidRPr="00962D73" w14:paraId="62CB1E95" w14:textId="77777777" w:rsidTr="00332A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042" w:type="dxa"/>
          </w:tcPr>
          <w:p w14:paraId="09D3F210" w14:textId="77777777" w:rsidR="00941B50" w:rsidRPr="00962D73" w:rsidRDefault="00941B50" w:rsidP="00332A1F">
            <w:pPr>
              <w:rPr>
                <w:rFonts w:cstheme="minorHAnsi"/>
              </w:rPr>
            </w:pPr>
            <w:r>
              <w:rPr>
                <w:rFonts w:cstheme="minorHAnsi"/>
              </w:rPr>
              <w:t>volumes facturés 2019</w:t>
            </w:r>
          </w:p>
        </w:tc>
        <w:tc>
          <w:tcPr>
            <w:tcW w:w="2643" w:type="dxa"/>
          </w:tcPr>
          <w:p w14:paraId="22FA17E5"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89 441 m³</w:t>
            </w:r>
          </w:p>
        </w:tc>
        <w:tc>
          <w:tcPr>
            <w:tcW w:w="2643" w:type="dxa"/>
          </w:tcPr>
          <w:p w14:paraId="6F737BFD"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7 427 133 m³</w:t>
            </w:r>
          </w:p>
        </w:tc>
        <w:tc>
          <w:tcPr>
            <w:tcW w:w="2643" w:type="dxa"/>
          </w:tcPr>
          <w:p w14:paraId="3C6883E9"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643 428 m³</w:t>
            </w:r>
          </w:p>
        </w:tc>
        <w:tc>
          <w:tcPr>
            <w:tcW w:w="2644" w:type="dxa"/>
          </w:tcPr>
          <w:p w14:paraId="109943CF"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1 547 526 m³</w:t>
            </w:r>
          </w:p>
        </w:tc>
      </w:tr>
      <w:tr w:rsidR="00941B50" w:rsidRPr="00962D73" w14:paraId="7C668D43" w14:textId="77777777" w:rsidTr="00332A1F">
        <w:trPr>
          <w:trHeight w:val="493"/>
        </w:trPr>
        <w:tc>
          <w:tcPr>
            <w:cnfStyle w:val="001000000000" w:firstRow="0" w:lastRow="0" w:firstColumn="1" w:lastColumn="0" w:oddVBand="0" w:evenVBand="0" w:oddHBand="0" w:evenHBand="0" w:firstRowFirstColumn="0" w:firstRowLastColumn="0" w:lastRowFirstColumn="0" w:lastRowLastColumn="0"/>
            <w:tcW w:w="3042" w:type="dxa"/>
          </w:tcPr>
          <w:p w14:paraId="256137C9" w14:textId="77777777" w:rsidR="00941B50" w:rsidRPr="00962D73" w:rsidRDefault="00941B50" w:rsidP="00332A1F">
            <w:pPr>
              <w:rPr>
                <w:rFonts w:cstheme="minorHAnsi"/>
              </w:rPr>
            </w:pPr>
            <w:r w:rsidRPr="00962D73">
              <w:rPr>
                <w:rFonts w:cstheme="minorHAnsi"/>
              </w:rPr>
              <w:t>chiffre d’affaires délégataire 2019</w:t>
            </w:r>
          </w:p>
        </w:tc>
        <w:tc>
          <w:tcPr>
            <w:tcW w:w="2643" w:type="dxa"/>
          </w:tcPr>
          <w:p w14:paraId="1DA5E4F3"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93 k€</w:t>
            </w:r>
          </w:p>
        </w:tc>
        <w:tc>
          <w:tcPr>
            <w:tcW w:w="2643" w:type="dxa"/>
          </w:tcPr>
          <w:p w14:paraId="004D0A55"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8 602 k€</w:t>
            </w:r>
          </w:p>
        </w:tc>
        <w:tc>
          <w:tcPr>
            <w:tcW w:w="2643" w:type="dxa"/>
          </w:tcPr>
          <w:p w14:paraId="2692205E"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442 k€</w:t>
            </w:r>
          </w:p>
        </w:tc>
        <w:tc>
          <w:tcPr>
            <w:tcW w:w="2644" w:type="dxa"/>
          </w:tcPr>
          <w:p w14:paraId="4EF0868C" w14:textId="77777777" w:rsidR="00941B50" w:rsidRPr="00962D73" w:rsidRDefault="00941B50" w:rsidP="00332A1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3 074 k€</w:t>
            </w:r>
          </w:p>
        </w:tc>
      </w:tr>
      <w:tr w:rsidR="00941B50" w:rsidRPr="00962D73" w14:paraId="7A3B023D" w14:textId="77777777" w:rsidTr="00332A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042" w:type="dxa"/>
          </w:tcPr>
          <w:p w14:paraId="05462C78" w14:textId="77777777" w:rsidR="00941B50" w:rsidRPr="00962D73" w:rsidRDefault="00941B50" w:rsidP="00332A1F">
            <w:pPr>
              <w:rPr>
                <w:rFonts w:cstheme="minorHAnsi"/>
              </w:rPr>
            </w:pPr>
            <w:r w:rsidRPr="00962D73">
              <w:rPr>
                <w:rFonts w:cstheme="minorHAnsi"/>
              </w:rPr>
              <w:t>avenants (date)</w:t>
            </w:r>
          </w:p>
        </w:tc>
        <w:tc>
          <w:tcPr>
            <w:tcW w:w="2643" w:type="dxa"/>
          </w:tcPr>
          <w:p w14:paraId="7024A513" w14:textId="766DA027" w:rsidR="00941B50" w:rsidRPr="00962D73" w:rsidRDefault="00D27B7B"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p>
        </w:tc>
        <w:tc>
          <w:tcPr>
            <w:tcW w:w="2643" w:type="dxa"/>
          </w:tcPr>
          <w:p w14:paraId="48DDAD8F"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30/05/2012</w:t>
            </w:r>
          </w:p>
          <w:p w14:paraId="7B5810E6"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30/05/2012</w:t>
            </w:r>
          </w:p>
          <w:p w14:paraId="7C8D5278"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01/06/2012</w:t>
            </w:r>
          </w:p>
          <w:p w14:paraId="54A1BCCE"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09/01/2014</w:t>
            </w:r>
          </w:p>
          <w:p w14:paraId="5BD50460"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04/11/2016</w:t>
            </w:r>
          </w:p>
          <w:p w14:paraId="1615B30A"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04/05/2018</w:t>
            </w:r>
          </w:p>
          <w:p w14:paraId="59824A24"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01/01/2019</w:t>
            </w:r>
          </w:p>
          <w:p w14:paraId="76633A2A" w14:textId="77777777" w:rsidR="00941B50"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Pr="002E4233">
              <w:rPr>
                <w:rFonts w:cstheme="minorHAnsi"/>
                <w:vertAlign w:val="superscript"/>
              </w:rPr>
              <w:t>er</w:t>
            </w:r>
            <w:r>
              <w:rPr>
                <w:rFonts w:cstheme="minorHAnsi"/>
              </w:rPr>
              <w:t xml:space="preserve"> semestre 2020 ?</w:t>
            </w:r>
          </w:p>
          <w:p w14:paraId="57BB5D76" w14:textId="77777777" w:rsidR="00941B50" w:rsidRPr="002E4233" w:rsidRDefault="00941B50" w:rsidP="00941B50">
            <w:pPr>
              <w:pStyle w:val="Paragraphedeliste"/>
              <w:numPr>
                <w:ilvl w:val="0"/>
                <w:numId w:val="2"/>
              </w:numPr>
              <w:ind w:left="257" w:hanging="2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Juillet 2020 ?</w:t>
            </w:r>
          </w:p>
        </w:tc>
        <w:tc>
          <w:tcPr>
            <w:tcW w:w="2643" w:type="dxa"/>
          </w:tcPr>
          <w:p w14:paraId="49FD499D"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p>
        </w:tc>
        <w:tc>
          <w:tcPr>
            <w:tcW w:w="2644" w:type="dxa"/>
          </w:tcPr>
          <w:p w14:paraId="14FDEC65" w14:textId="77777777" w:rsidR="00941B50" w:rsidRDefault="00941B50" w:rsidP="00941B50">
            <w:pPr>
              <w:pStyle w:val="Paragraphedeliste"/>
              <w:numPr>
                <w:ilvl w:val="0"/>
                <w:numId w:val="3"/>
              </w:numPr>
              <w:ind w:left="133" w:hanging="20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28/04/2010</w:t>
            </w:r>
          </w:p>
          <w:p w14:paraId="6C62A8CB" w14:textId="77777777" w:rsidR="00941B50" w:rsidRDefault="00941B50" w:rsidP="00941B50">
            <w:pPr>
              <w:pStyle w:val="Paragraphedeliste"/>
              <w:numPr>
                <w:ilvl w:val="0"/>
                <w:numId w:val="3"/>
              </w:numPr>
              <w:ind w:left="133" w:hanging="20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06/07/2011</w:t>
            </w:r>
          </w:p>
          <w:p w14:paraId="1FF2663D" w14:textId="77777777" w:rsidR="00941B50" w:rsidRDefault="00941B50" w:rsidP="00941B50">
            <w:pPr>
              <w:pStyle w:val="Paragraphedeliste"/>
              <w:numPr>
                <w:ilvl w:val="0"/>
                <w:numId w:val="3"/>
              </w:numPr>
              <w:ind w:left="133" w:hanging="20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01/01/2013</w:t>
            </w:r>
          </w:p>
          <w:p w14:paraId="3148FA9E" w14:textId="77777777" w:rsidR="00941B50" w:rsidRDefault="00941B50" w:rsidP="00941B50">
            <w:pPr>
              <w:pStyle w:val="Paragraphedeliste"/>
              <w:numPr>
                <w:ilvl w:val="0"/>
                <w:numId w:val="3"/>
              </w:numPr>
              <w:ind w:left="133" w:hanging="20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01/01/2019</w:t>
            </w:r>
          </w:p>
          <w:p w14:paraId="57C34BAD"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p>
        </w:tc>
      </w:tr>
      <w:tr w:rsidR="00941B50" w:rsidRPr="00962D73" w14:paraId="26EB0F54" w14:textId="77777777" w:rsidTr="00332A1F">
        <w:trPr>
          <w:trHeight w:val="493"/>
        </w:trPr>
        <w:tc>
          <w:tcPr>
            <w:cnfStyle w:val="001000000000" w:firstRow="0" w:lastRow="0" w:firstColumn="1" w:lastColumn="0" w:oddVBand="0" w:evenVBand="0" w:oddHBand="0" w:evenHBand="0" w:firstRowFirstColumn="0" w:firstRowLastColumn="0" w:lastRowFirstColumn="0" w:lastRowLastColumn="0"/>
            <w:tcW w:w="3042" w:type="dxa"/>
          </w:tcPr>
          <w:p w14:paraId="44D1C88F" w14:textId="77777777" w:rsidR="00941B50" w:rsidRPr="00962D73" w:rsidRDefault="00941B50" w:rsidP="00332A1F">
            <w:pPr>
              <w:rPr>
                <w:rFonts w:cstheme="minorHAnsi"/>
              </w:rPr>
            </w:pPr>
            <w:r w:rsidRPr="008B4A49">
              <w:rPr>
                <w:rFonts w:cstheme="minorHAnsi"/>
              </w:rPr>
              <w:t>Indice de connaissance et de gestion patrimoniale des</w:t>
            </w:r>
            <w:r>
              <w:rPr>
                <w:rFonts w:cstheme="minorHAnsi"/>
              </w:rPr>
              <w:t xml:space="preserve"> </w:t>
            </w:r>
            <w:r w:rsidRPr="008B4A49">
              <w:rPr>
                <w:rFonts w:cstheme="minorHAnsi"/>
              </w:rPr>
              <w:t>réseaux de collecte des eaux usées</w:t>
            </w:r>
            <w:r>
              <w:rPr>
                <w:rFonts w:cstheme="minorHAnsi"/>
              </w:rPr>
              <w:t xml:space="preserve"> (ICGP P202.2)</w:t>
            </w:r>
          </w:p>
        </w:tc>
        <w:tc>
          <w:tcPr>
            <w:tcW w:w="2643" w:type="dxa"/>
          </w:tcPr>
          <w:p w14:paraId="3F07ED17" w14:textId="77777777" w:rsidR="00941B50" w:rsidRPr="00962D73"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85 / 120</w:t>
            </w:r>
          </w:p>
        </w:tc>
        <w:tc>
          <w:tcPr>
            <w:tcW w:w="2643" w:type="dxa"/>
          </w:tcPr>
          <w:p w14:paraId="2E1F6EB6" w14:textId="77777777" w:rsidR="00941B50" w:rsidRPr="008B4A49"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105 / 120</w:t>
            </w:r>
          </w:p>
        </w:tc>
        <w:tc>
          <w:tcPr>
            <w:tcW w:w="2643" w:type="dxa"/>
          </w:tcPr>
          <w:p w14:paraId="06E7106A" w14:textId="77777777" w:rsidR="00941B50"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 / 120</w:t>
            </w:r>
          </w:p>
        </w:tc>
        <w:tc>
          <w:tcPr>
            <w:tcW w:w="2644" w:type="dxa"/>
          </w:tcPr>
          <w:p w14:paraId="696D733E" w14:textId="77777777" w:rsidR="00941B50" w:rsidRPr="008B4A49"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95 / 120</w:t>
            </w:r>
          </w:p>
        </w:tc>
      </w:tr>
      <w:tr w:rsidR="00941B50" w:rsidRPr="00962D73" w14:paraId="62E9BA7E" w14:textId="77777777" w:rsidTr="00332A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042" w:type="dxa"/>
          </w:tcPr>
          <w:p w14:paraId="22B7E262" w14:textId="37F93B4C" w:rsidR="00941B50" w:rsidRPr="00962D73" w:rsidRDefault="00941B50" w:rsidP="00332A1F">
            <w:pPr>
              <w:rPr>
                <w:rFonts w:cstheme="minorHAnsi"/>
              </w:rPr>
            </w:pPr>
            <w:r w:rsidRPr="00962D73">
              <w:rPr>
                <w:rFonts w:cstheme="minorHAnsi"/>
              </w:rPr>
              <w:t>Mission</w:t>
            </w:r>
            <w:r w:rsidR="00D27B7B">
              <w:rPr>
                <w:rFonts w:cstheme="minorHAnsi"/>
              </w:rPr>
              <w:t>s</w:t>
            </w:r>
            <w:r w:rsidRPr="00962D73">
              <w:rPr>
                <w:rFonts w:cstheme="minorHAnsi"/>
              </w:rPr>
              <w:t xml:space="preserve"> du délégataire</w:t>
            </w:r>
            <w:r w:rsidR="00D27B7B">
              <w:rPr>
                <w:rFonts w:cstheme="minorHAnsi"/>
              </w:rPr>
              <w:t xml:space="preserve"> sur la problématique d’eaux usées non domestiques</w:t>
            </w:r>
          </w:p>
        </w:tc>
        <w:tc>
          <w:tcPr>
            <w:tcW w:w="2643" w:type="dxa"/>
          </w:tcPr>
          <w:p w14:paraId="03748D6A"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art 21 « autorisations et conventions de déversement spéciales » : signature tripartite des CSD ; surveillance des </w:t>
            </w:r>
            <w:r>
              <w:rPr>
                <w:rFonts w:cstheme="minorHAnsi"/>
              </w:rPr>
              <w:lastRenderedPageBreak/>
              <w:t>rejets industriels au réseau par le fermier ;</w:t>
            </w:r>
          </w:p>
          <w:p w14:paraId="2961DDBF"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le fermier met ses moyens humains, techniques et d’analyse au service de la Collectivité pour </w:t>
            </w:r>
            <w:r w:rsidRPr="000D77D1">
              <w:rPr>
                <w:rFonts w:cstheme="minorHAnsi"/>
                <w:u w:val="single"/>
              </w:rPr>
              <w:t>l’élaboration, la négociation et le suivi</w:t>
            </w:r>
            <w:r>
              <w:rPr>
                <w:rFonts w:cstheme="minorHAnsi"/>
              </w:rPr>
              <w:t xml:space="preserve"> des autorisations de déversement des eaux usées industrielles, et des conventions de déversement multipartites (fermier, CA, CA voisines et/ou industriels), les charges correspondantes étant </w:t>
            </w:r>
            <w:r w:rsidRPr="000D77D1">
              <w:rPr>
                <w:rFonts w:cstheme="minorHAnsi"/>
                <w:u w:val="single"/>
              </w:rPr>
              <w:t>à la charge du fermier</w:t>
            </w:r>
            <w:r>
              <w:rPr>
                <w:rFonts w:cstheme="minorHAnsi"/>
              </w:rPr>
              <w:t> ».</w:t>
            </w:r>
          </w:p>
          <w:p w14:paraId="2A84B1BE"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le fermier s’engage, sur la durée du contrat, à :</w:t>
            </w:r>
          </w:p>
          <w:p w14:paraId="3FA39932" w14:textId="77777777" w:rsidR="00941B50" w:rsidRDefault="00941B50" w:rsidP="00941B50">
            <w:pPr>
              <w:pStyle w:val="Paragraphedeliste"/>
              <w:numPr>
                <w:ilvl w:val="0"/>
                <w:numId w:val="4"/>
              </w:numPr>
              <w:ind w:left="211" w:hanging="225"/>
              <w:cnfStyle w:val="000000100000" w:firstRow="0" w:lastRow="0" w:firstColumn="0" w:lastColumn="0" w:oddVBand="0" w:evenVBand="0" w:oddHBand="1" w:evenHBand="0" w:firstRowFirstColumn="0" w:firstRowLastColumn="0" w:lastRowFirstColumn="0" w:lastRowLastColumn="0"/>
              <w:rPr>
                <w:rFonts w:cstheme="minorHAnsi"/>
              </w:rPr>
            </w:pPr>
            <w:r w:rsidRPr="00204A1C">
              <w:rPr>
                <w:rFonts w:cstheme="minorHAnsi"/>
                <w:u w:val="single"/>
              </w:rPr>
              <w:t>Recenser</w:t>
            </w:r>
            <w:r>
              <w:rPr>
                <w:rFonts w:cstheme="minorHAnsi"/>
              </w:rPr>
              <w:t xml:space="preserve"> tous les usagers concernés et les informer qu’ils sont soumis à autorisation,</w:t>
            </w:r>
          </w:p>
          <w:p w14:paraId="0238DE79" w14:textId="77777777" w:rsidR="00941B50" w:rsidRDefault="00941B50" w:rsidP="00941B50">
            <w:pPr>
              <w:pStyle w:val="Paragraphedeliste"/>
              <w:numPr>
                <w:ilvl w:val="0"/>
                <w:numId w:val="4"/>
              </w:numPr>
              <w:ind w:left="211" w:hanging="225"/>
              <w:cnfStyle w:val="000000100000" w:firstRow="0" w:lastRow="0" w:firstColumn="0" w:lastColumn="0" w:oddVBand="0" w:evenVBand="0" w:oddHBand="1" w:evenHBand="0" w:firstRowFirstColumn="0" w:firstRowLastColumn="0" w:lastRowFirstColumn="0" w:lastRowLastColumn="0"/>
              <w:rPr>
                <w:rFonts w:cstheme="minorHAnsi"/>
              </w:rPr>
            </w:pPr>
            <w:r w:rsidRPr="00204A1C">
              <w:rPr>
                <w:rFonts w:cstheme="minorHAnsi"/>
                <w:u w:val="single"/>
              </w:rPr>
              <w:t>Engager la démarche de conventionnement</w:t>
            </w:r>
            <w:r>
              <w:rPr>
                <w:rFonts w:cstheme="minorHAnsi"/>
              </w:rPr>
              <w:t xml:space="preserve"> et indiquer à la CA les usagers potentiellement soumis à autorisation,</w:t>
            </w:r>
          </w:p>
          <w:p w14:paraId="5ABB6A1F" w14:textId="77777777" w:rsidR="00941B50" w:rsidRPr="00FB6089" w:rsidRDefault="00941B50" w:rsidP="00941B50">
            <w:pPr>
              <w:pStyle w:val="Paragraphedeliste"/>
              <w:numPr>
                <w:ilvl w:val="0"/>
                <w:numId w:val="4"/>
              </w:numPr>
              <w:ind w:left="211" w:hanging="225"/>
              <w:cnfStyle w:val="000000100000" w:firstRow="0" w:lastRow="0" w:firstColumn="0" w:lastColumn="0" w:oddVBand="0" w:evenVBand="0" w:oddHBand="1" w:evenHBand="0" w:firstRowFirstColumn="0" w:firstRowLastColumn="0" w:lastRowFirstColumn="0" w:lastRowLastColumn="0"/>
              <w:rPr>
                <w:rFonts w:cstheme="minorHAnsi"/>
              </w:rPr>
            </w:pPr>
            <w:r w:rsidRPr="00FB6089">
              <w:rPr>
                <w:rFonts w:cstheme="minorHAnsi"/>
              </w:rPr>
              <w:t xml:space="preserve">Réaliser </w:t>
            </w:r>
            <w:r w:rsidRPr="00FB6089">
              <w:rPr>
                <w:rFonts w:cstheme="minorHAnsi"/>
                <w:u w:val="single"/>
              </w:rPr>
              <w:t xml:space="preserve">au moins un contrôle qui pourra être </w:t>
            </w:r>
            <w:r w:rsidRPr="00FB6089">
              <w:rPr>
                <w:rFonts w:cstheme="minorHAnsi"/>
                <w:u w:val="single"/>
              </w:rPr>
              <w:lastRenderedPageBreak/>
              <w:t>inopiné de toutes les conventions signées</w:t>
            </w:r>
            <w:r w:rsidRPr="00FB6089">
              <w:rPr>
                <w:rFonts w:cstheme="minorHAnsi"/>
              </w:rPr>
              <w:t xml:space="preserve"> (PV du contrôle transmis à la CA dans les 15j) »</w:t>
            </w:r>
          </w:p>
        </w:tc>
        <w:tc>
          <w:tcPr>
            <w:tcW w:w="2643" w:type="dxa"/>
          </w:tcPr>
          <w:p w14:paraId="62E320DF"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 xml:space="preserve">art 12 « contrats de déversement » : signature tripartite des CSD ; </w:t>
            </w:r>
          </w:p>
          <w:p w14:paraId="3E70F449"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alerte par le fermier pour ne pas autoriser les </w:t>
            </w:r>
            <w:r>
              <w:rPr>
                <w:rFonts w:cstheme="minorHAnsi"/>
              </w:rPr>
              <w:t>déversements en cas d’insuffisance des installations</w:t>
            </w:r>
          </w:p>
        </w:tc>
        <w:tc>
          <w:tcPr>
            <w:tcW w:w="2643" w:type="dxa"/>
          </w:tcPr>
          <w:p w14:paraId="0E58763B"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 xml:space="preserve">art 21 « autorisations et conventions de déversement spéciales » : signature tripartite des CSD ; surveillance des </w:t>
            </w:r>
            <w:r>
              <w:rPr>
                <w:rFonts w:cstheme="minorHAnsi"/>
              </w:rPr>
              <w:lastRenderedPageBreak/>
              <w:t>rejets industriels au réseau par le fermier ;</w:t>
            </w:r>
          </w:p>
          <w:p w14:paraId="72BC6383"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le fermier met ses moyens humains, techniques et d’analyse au service de la Collectivité pour </w:t>
            </w:r>
            <w:r w:rsidRPr="000D77D1">
              <w:rPr>
                <w:rFonts w:cstheme="minorHAnsi"/>
                <w:u w:val="single"/>
              </w:rPr>
              <w:t>l’élaboration, la négociation et le suivi</w:t>
            </w:r>
            <w:r>
              <w:rPr>
                <w:rFonts w:cstheme="minorHAnsi"/>
              </w:rPr>
              <w:t xml:space="preserve"> des autorisations de déversement des eaux usées industrielles, et des conventions de déversement multipartites (fermier, CA, CA voisines et/ou industriels), les charges correspondantes étant </w:t>
            </w:r>
            <w:r w:rsidRPr="000D77D1">
              <w:rPr>
                <w:rFonts w:cstheme="minorHAnsi"/>
                <w:u w:val="single"/>
              </w:rPr>
              <w:t>à la charge du fermier</w:t>
            </w:r>
            <w:r>
              <w:rPr>
                <w:rFonts w:cstheme="minorHAnsi"/>
              </w:rPr>
              <w:t> ».</w:t>
            </w:r>
          </w:p>
          <w:p w14:paraId="40428DA1"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le fermier s’engage, sur la durée du contrat, à :</w:t>
            </w:r>
          </w:p>
          <w:p w14:paraId="544028D6" w14:textId="77777777" w:rsidR="00941B50" w:rsidRDefault="00941B50" w:rsidP="00941B50">
            <w:pPr>
              <w:pStyle w:val="Paragraphedeliste"/>
              <w:numPr>
                <w:ilvl w:val="0"/>
                <w:numId w:val="4"/>
              </w:numPr>
              <w:ind w:left="211" w:hanging="225"/>
              <w:cnfStyle w:val="000000100000" w:firstRow="0" w:lastRow="0" w:firstColumn="0" w:lastColumn="0" w:oddVBand="0" w:evenVBand="0" w:oddHBand="1" w:evenHBand="0" w:firstRowFirstColumn="0" w:firstRowLastColumn="0" w:lastRowFirstColumn="0" w:lastRowLastColumn="0"/>
              <w:rPr>
                <w:rFonts w:cstheme="minorHAnsi"/>
              </w:rPr>
            </w:pPr>
            <w:r w:rsidRPr="00204A1C">
              <w:rPr>
                <w:rFonts w:cstheme="minorHAnsi"/>
                <w:u w:val="single"/>
              </w:rPr>
              <w:t>Recenser</w:t>
            </w:r>
            <w:r>
              <w:rPr>
                <w:rFonts w:cstheme="minorHAnsi"/>
              </w:rPr>
              <w:t xml:space="preserve"> tous les usagers concernés et les informer qu’ils sont soumis à autorisation,</w:t>
            </w:r>
          </w:p>
          <w:p w14:paraId="3C6B814B" w14:textId="77777777" w:rsidR="00941B50" w:rsidRDefault="00941B50" w:rsidP="00941B50">
            <w:pPr>
              <w:pStyle w:val="Paragraphedeliste"/>
              <w:numPr>
                <w:ilvl w:val="0"/>
                <w:numId w:val="4"/>
              </w:numPr>
              <w:ind w:left="211" w:hanging="225"/>
              <w:cnfStyle w:val="000000100000" w:firstRow="0" w:lastRow="0" w:firstColumn="0" w:lastColumn="0" w:oddVBand="0" w:evenVBand="0" w:oddHBand="1" w:evenHBand="0" w:firstRowFirstColumn="0" w:firstRowLastColumn="0" w:lastRowFirstColumn="0" w:lastRowLastColumn="0"/>
              <w:rPr>
                <w:rFonts w:cstheme="minorHAnsi"/>
              </w:rPr>
            </w:pPr>
            <w:r w:rsidRPr="00204A1C">
              <w:rPr>
                <w:rFonts w:cstheme="minorHAnsi"/>
                <w:u w:val="single"/>
              </w:rPr>
              <w:t>Engager la démarche de conventionnement</w:t>
            </w:r>
            <w:r>
              <w:rPr>
                <w:rFonts w:cstheme="minorHAnsi"/>
              </w:rPr>
              <w:t xml:space="preserve"> et indiquer à la CA les usagers potentiellement soumis à autorisation,</w:t>
            </w:r>
          </w:p>
          <w:p w14:paraId="034BF523" w14:textId="77777777" w:rsidR="00941B50" w:rsidRPr="00653E17" w:rsidRDefault="00941B50" w:rsidP="00941B50">
            <w:pPr>
              <w:pStyle w:val="Paragraphedeliste"/>
              <w:numPr>
                <w:ilvl w:val="0"/>
                <w:numId w:val="4"/>
              </w:numPr>
              <w:ind w:left="211" w:hanging="225"/>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Réaliser </w:t>
            </w:r>
            <w:r w:rsidRPr="00204A1C">
              <w:rPr>
                <w:rFonts w:cstheme="minorHAnsi"/>
                <w:u w:val="single"/>
              </w:rPr>
              <w:t xml:space="preserve">au moins un contrôle qui pourra être </w:t>
            </w:r>
            <w:r w:rsidRPr="00204A1C">
              <w:rPr>
                <w:rFonts w:cstheme="minorHAnsi"/>
                <w:u w:val="single"/>
              </w:rPr>
              <w:lastRenderedPageBreak/>
              <w:t>inopiné de toutes les conventions signées</w:t>
            </w:r>
            <w:r>
              <w:rPr>
                <w:rFonts w:cstheme="minorHAnsi"/>
              </w:rPr>
              <w:t xml:space="preserve"> (PV du contrôle transmis à la CA dans les 15j) »</w:t>
            </w:r>
          </w:p>
        </w:tc>
        <w:tc>
          <w:tcPr>
            <w:tcW w:w="2644" w:type="dxa"/>
          </w:tcPr>
          <w:p w14:paraId="1407FFDB"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 xml:space="preserve">art 12 « contrats de déversement » : « dans le cas de déversement spécial, le délégataire soumet au visa de la </w:t>
            </w:r>
            <w:r>
              <w:rPr>
                <w:rFonts w:cstheme="minorHAnsi"/>
              </w:rPr>
              <w:t xml:space="preserve">collectivité les conventions de déversement spéciales » ; </w:t>
            </w:r>
          </w:p>
          <w:p w14:paraId="11EF3A9F"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la collectivité peut prescrire au délégataire de refuser les CSD susceptibles d’entrainer une insuffisance des installations</w:t>
            </w:r>
          </w:p>
          <w:p w14:paraId="21A8A9E0" w14:textId="77777777" w:rsidR="00941B50"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p>
          <w:p w14:paraId="5E89AE1F"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art 59 « nature des eaux déversées » : le délégataire « est tenu d’aviser la collectivité de mettre en œuvre toutes les mesures coercitives prévues par la réglementation ou par les conventions de déversements spéciales, à l’encontre des usagers qui déverseraient un effluent non conforme »</w:t>
            </w:r>
          </w:p>
        </w:tc>
      </w:tr>
      <w:tr w:rsidR="00941B50" w:rsidRPr="00962D73" w14:paraId="2422E2E8" w14:textId="77777777" w:rsidTr="00332A1F">
        <w:trPr>
          <w:trHeight w:val="493"/>
        </w:trPr>
        <w:tc>
          <w:tcPr>
            <w:cnfStyle w:val="001000000000" w:firstRow="0" w:lastRow="0" w:firstColumn="1" w:lastColumn="0" w:oddVBand="0" w:evenVBand="0" w:oddHBand="0" w:evenHBand="0" w:firstRowFirstColumn="0" w:firstRowLastColumn="0" w:lastRowFirstColumn="0" w:lastRowLastColumn="0"/>
            <w:tcW w:w="3042" w:type="dxa"/>
          </w:tcPr>
          <w:p w14:paraId="3BA46ECE" w14:textId="77777777" w:rsidR="00941B50" w:rsidRPr="00962D73" w:rsidRDefault="00941B50" w:rsidP="00332A1F">
            <w:pPr>
              <w:rPr>
                <w:rFonts w:cstheme="minorHAnsi"/>
              </w:rPr>
            </w:pPr>
            <w:proofErr w:type="gramStart"/>
            <w:r w:rsidRPr="00962D73">
              <w:rPr>
                <w:rFonts w:cstheme="minorHAnsi"/>
              </w:rPr>
              <w:lastRenderedPageBreak/>
              <w:t>Nombre de CSD annexées</w:t>
            </w:r>
            <w:proofErr w:type="gramEnd"/>
            <w:r w:rsidRPr="00962D73">
              <w:rPr>
                <w:rFonts w:cstheme="minorHAnsi"/>
              </w:rPr>
              <w:t xml:space="preserve"> au contrat</w:t>
            </w:r>
          </w:p>
        </w:tc>
        <w:tc>
          <w:tcPr>
            <w:tcW w:w="2643" w:type="dxa"/>
            <w:vAlign w:val="center"/>
          </w:tcPr>
          <w:p w14:paraId="2E3BB86B" w14:textId="77777777" w:rsidR="00941B50" w:rsidRPr="00962D73"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 (mais modèle de CSD annexé)</w:t>
            </w:r>
          </w:p>
        </w:tc>
        <w:tc>
          <w:tcPr>
            <w:tcW w:w="2643" w:type="dxa"/>
            <w:vAlign w:val="center"/>
          </w:tcPr>
          <w:p w14:paraId="441EA3B5" w14:textId="77777777" w:rsidR="00941B50" w:rsidRPr="00962D73"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2643" w:type="dxa"/>
            <w:vAlign w:val="center"/>
          </w:tcPr>
          <w:p w14:paraId="667B317D" w14:textId="77777777" w:rsidR="00941B50" w:rsidRPr="00962D73"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 (mais modèle de CSD annexé)</w:t>
            </w:r>
          </w:p>
        </w:tc>
        <w:tc>
          <w:tcPr>
            <w:tcW w:w="2644" w:type="dxa"/>
            <w:vAlign w:val="center"/>
          </w:tcPr>
          <w:p w14:paraId="1F268757" w14:textId="77777777" w:rsidR="00941B50" w:rsidRPr="00962D73" w:rsidRDefault="00941B50" w:rsidP="00332A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r>
      <w:tr w:rsidR="00941B50" w:rsidRPr="00962D73" w14:paraId="6BF4E4AC" w14:textId="77777777" w:rsidTr="00332A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042" w:type="dxa"/>
          </w:tcPr>
          <w:p w14:paraId="6967B100" w14:textId="77777777" w:rsidR="00941B50" w:rsidRPr="00962D73" w:rsidRDefault="00941B50" w:rsidP="00332A1F">
            <w:pPr>
              <w:rPr>
                <w:rFonts w:cstheme="minorHAnsi"/>
              </w:rPr>
            </w:pPr>
            <w:r w:rsidRPr="00962D73">
              <w:rPr>
                <w:rFonts w:cstheme="minorHAnsi"/>
              </w:rPr>
              <w:t>Nombre de CSD à date</w:t>
            </w:r>
          </w:p>
        </w:tc>
        <w:tc>
          <w:tcPr>
            <w:tcW w:w="2643" w:type="dxa"/>
          </w:tcPr>
          <w:p w14:paraId="49FE3B38"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43" w:type="dxa"/>
          </w:tcPr>
          <w:p w14:paraId="3932B49A" w14:textId="77777777" w:rsidR="00941B50" w:rsidRDefault="00941B50" w:rsidP="00941B50">
            <w:pPr>
              <w:pStyle w:val="Paragraphedeliste"/>
              <w:numPr>
                <w:ilvl w:val="0"/>
                <w:numId w:val="1"/>
              </w:numPr>
              <w:ind w:left="30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SUDECO (Casino Fréjus Av de Lattre de Tassigny (arrêté d’autorisation 2015)</w:t>
            </w:r>
          </w:p>
          <w:p w14:paraId="694748F1" w14:textId="77777777" w:rsidR="00941B50" w:rsidRPr="009E071A" w:rsidRDefault="00941B50" w:rsidP="00941B50">
            <w:pPr>
              <w:pStyle w:val="Paragraphedeliste"/>
              <w:numPr>
                <w:ilvl w:val="0"/>
                <w:numId w:val="1"/>
              </w:numPr>
              <w:ind w:left="30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AFUL Fréjus – chez </w:t>
            </w:r>
            <w:proofErr w:type="spellStart"/>
            <w:r>
              <w:rPr>
                <w:rFonts w:cstheme="minorHAnsi"/>
              </w:rPr>
              <w:t>Sudeco</w:t>
            </w:r>
            <w:proofErr w:type="spellEnd"/>
            <w:r>
              <w:rPr>
                <w:rFonts w:cstheme="minorHAnsi"/>
              </w:rPr>
              <w:t xml:space="preserve"> – Casino RN98 Fréjus (CSD 2011)</w:t>
            </w:r>
          </w:p>
        </w:tc>
        <w:tc>
          <w:tcPr>
            <w:tcW w:w="2643" w:type="dxa"/>
          </w:tcPr>
          <w:p w14:paraId="6EC62CF3"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44" w:type="dxa"/>
          </w:tcPr>
          <w:p w14:paraId="43B75998" w14:textId="77777777" w:rsidR="00941B50" w:rsidRPr="00962D73" w:rsidRDefault="00941B50" w:rsidP="00332A1F">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Pr>
                <w:rFonts w:cstheme="minorHAnsi"/>
              </w:rPr>
              <w:t>Thalgo</w:t>
            </w:r>
            <w:proofErr w:type="spellEnd"/>
            <w:r>
              <w:rPr>
                <w:rFonts w:cstheme="minorHAnsi"/>
              </w:rPr>
              <w:t xml:space="preserve"> (CSD 2013)</w:t>
            </w:r>
          </w:p>
        </w:tc>
      </w:tr>
    </w:tbl>
    <w:p w14:paraId="79BF150B" w14:textId="32974F24" w:rsidR="00AB4D3F" w:rsidRDefault="00AB4D3F" w:rsidP="007C0C4D">
      <w:pPr>
        <w:jc w:val="both"/>
      </w:pPr>
    </w:p>
    <w:p w14:paraId="71C3F390" w14:textId="0563D334" w:rsidR="00AB4D3F" w:rsidRDefault="00AB4D3F" w:rsidP="007C0C4D">
      <w:pPr>
        <w:jc w:val="both"/>
      </w:pPr>
    </w:p>
    <w:p w14:paraId="61AA16FA" w14:textId="554071A6" w:rsidR="00AB4D3F" w:rsidRDefault="00AB4D3F" w:rsidP="007C0C4D">
      <w:pPr>
        <w:jc w:val="both"/>
      </w:pPr>
    </w:p>
    <w:p w14:paraId="2454DEAC" w14:textId="66EF3F81" w:rsidR="00AB4D3F" w:rsidRDefault="00AB4D3F" w:rsidP="007C0C4D">
      <w:pPr>
        <w:jc w:val="both"/>
      </w:pPr>
    </w:p>
    <w:p w14:paraId="03641B99" w14:textId="77777777" w:rsidR="00AB4D3F" w:rsidRDefault="00AB4D3F" w:rsidP="007C0C4D">
      <w:pPr>
        <w:jc w:val="both"/>
      </w:pPr>
    </w:p>
    <w:p w14:paraId="013886ED" w14:textId="77777777" w:rsidR="00941B50" w:rsidRDefault="00941B50" w:rsidP="007C0C4D">
      <w:pPr>
        <w:jc w:val="both"/>
        <w:sectPr w:rsidR="00941B50" w:rsidSect="00941B50">
          <w:pgSz w:w="16838" w:h="11906" w:orient="landscape"/>
          <w:pgMar w:top="1417" w:right="1417" w:bottom="1417" w:left="1417" w:header="708" w:footer="708" w:gutter="0"/>
          <w:cols w:space="708"/>
          <w:docGrid w:linePitch="360"/>
        </w:sectPr>
      </w:pPr>
    </w:p>
    <w:p w14:paraId="07A43606" w14:textId="2AACA0AE" w:rsidR="00AB4D3F" w:rsidRDefault="00D27B7B" w:rsidP="007C0C4D">
      <w:pPr>
        <w:jc w:val="both"/>
      </w:pPr>
      <w:r>
        <w:lastRenderedPageBreak/>
        <w:t>On distingue ainsi 2 types de contrats DSP sur le territoire de la CAVEM :</w:t>
      </w:r>
    </w:p>
    <w:p w14:paraId="3B9CF779" w14:textId="03E7C1F1" w:rsidR="00D27B7B" w:rsidRDefault="00D27B7B" w:rsidP="00D27B7B">
      <w:pPr>
        <w:pStyle w:val="Paragraphedeliste"/>
        <w:numPr>
          <w:ilvl w:val="0"/>
          <w:numId w:val="1"/>
        </w:numPr>
        <w:jc w:val="both"/>
      </w:pPr>
      <w:r>
        <w:t xml:space="preserve">2 contrats « anciens » (2005 – 2006) sur Fréjus / St Raphael et Roquebrune-sur-Argens, avec globalement très peu d’engagements du Délégataire relatifs aux eaux usées non domestiques. Ces contrats sont ceux qui représentent le plus gros volume d’activité </w:t>
      </w:r>
      <w:r w:rsidR="00D6424E">
        <w:t xml:space="preserve">pour Veolia </w:t>
      </w:r>
      <w:r>
        <w:t>à l’échelle de la CAVEM, avec 92% des abonnés concernés.</w:t>
      </w:r>
    </w:p>
    <w:p w14:paraId="6D07ED20" w14:textId="2B0130DC" w:rsidR="00D6424E" w:rsidRDefault="00D6424E" w:rsidP="00D27B7B">
      <w:pPr>
        <w:pStyle w:val="Paragraphedeliste"/>
        <w:numPr>
          <w:ilvl w:val="0"/>
          <w:numId w:val="1"/>
        </w:numPr>
        <w:jc w:val="both"/>
      </w:pPr>
      <w:r>
        <w:t xml:space="preserve">2 contrats « récents » (2017-2018) sur </w:t>
      </w:r>
      <w:r w:rsidRPr="00D6424E">
        <w:t>Les Adrets de l’Estérel</w:t>
      </w:r>
      <w:r>
        <w:t xml:space="preserve"> et </w:t>
      </w:r>
      <w:r w:rsidRPr="00D6424E">
        <w:t>Puget</w:t>
      </w:r>
      <w:r>
        <w:t>-</w:t>
      </w:r>
      <w:r w:rsidRPr="00D6424E">
        <w:t>sur</w:t>
      </w:r>
      <w:r>
        <w:t>-</w:t>
      </w:r>
      <w:r w:rsidRPr="00D6424E">
        <w:t>Argens</w:t>
      </w:r>
      <w:r>
        <w:t>, qui introduisent des engagements de la part du Délégataire</w:t>
      </w:r>
      <w:r w:rsidR="00DE57C2">
        <w:t xml:space="preserve"> sur la problématique des eaux usées non domestiques, notamment</w:t>
      </w:r>
      <w:r>
        <w:t xml:space="preserve"> pour </w:t>
      </w:r>
      <w:r w:rsidRPr="00D6424E">
        <w:t xml:space="preserve">l’élaboration, la négociation et le suivi des autorisations </w:t>
      </w:r>
      <w:r>
        <w:t xml:space="preserve">et éventuelles conventions </w:t>
      </w:r>
      <w:r w:rsidRPr="00D6424E">
        <w:t>de déversement d</w:t>
      </w:r>
      <w:r>
        <w:t>’</w:t>
      </w:r>
      <w:r w:rsidRPr="00D6424E">
        <w:t>eaux usées</w:t>
      </w:r>
      <w:r>
        <w:t xml:space="preserve"> non domestiques. </w:t>
      </w:r>
      <w:r w:rsidR="00DE57C2">
        <w:t>Toutefois, la partie préalable d’identification des usagers nécessitant des conventions spéciales de déversement, qui implique un diagnostic des pollutions rejetées au réseau d’eaux usées, n’est pas détaillé et ne semble pas être inclus dans les missions du Délégataire.</w:t>
      </w:r>
    </w:p>
    <w:p w14:paraId="78E101FA" w14:textId="67BC40DC" w:rsidR="00AB4D3F" w:rsidRDefault="00AB4D3F" w:rsidP="007C0C4D">
      <w:pPr>
        <w:jc w:val="both"/>
      </w:pPr>
    </w:p>
    <w:p w14:paraId="3C112910" w14:textId="6DEEB4DF" w:rsidR="00DE57C2" w:rsidRDefault="00DE57C2" w:rsidP="007C0C4D">
      <w:pPr>
        <w:jc w:val="both"/>
      </w:pPr>
      <w:r>
        <w:t xml:space="preserve">Nicolas Belmondo, </w:t>
      </w:r>
      <w:proofErr w:type="gramStart"/>
      <w:r>
        <w:t>manager</w:t>
      </w:r>
      <w:proofErr w:type="gramEnd"/>
      <w:r>
        <w:t xml:space="preserve"> service réseaux pour le territoire Esterel chez Veolia Eau, indique que l’équipe d’exploitation locale </w:t>
      </w:r>
      <w:r w:rsidR="007976AB">
        <w:t xml:space="preserve">Veolia Eau </w:t>
      </w:r>
      <w:r>
        <w:t xml:space="preserve">se structure autour d’une activité nouvelle de diagnostic permanent des réseaux d’assainissement pour les 3 communes de Puget-sur-Argens, Fréjus et St Raphael, </w:t>
      </w:r>
      <w:r w:rsidR="007976AB">
        <w:t>depuis fin 2020, avec 1 agent dédié pour le service Estérel.</w:t>
      </w:r>
    </w:p>
    <w:p w14:paraId="799DCC4A" w14:textId="6806C94A" w:rsidR="007976AB" w:rsidRDefault="007976AB" w:rsidP="007C0C4D">
      <w:pPr>
        <w:jc w:val="both"/>
      </w:pPr>
      <w:r>
        <w:t xml:space="preserve">Ainsi, Veolia serait en mesure de répondre favorablement </w:t>
      </w:r>
      <w:r w:rsidR="00037BEB">
        <w:t>sur</w:t>
      </w:r>
      <w:r>
        <w:t xml:space="preserve"> des prestations </w:t>
      </w:r>
      <w:r w:rsidR="00037BEB">
        <w:t>de diagnostic des abonnés non domestiques, permettant de conduire à l’établissement d’autorisations et de conventions spéciales de déversement</w:t>
      </w:r>
      <w:r w:rsidR="00262202">
        <w:t>, qui viendraient en complément de la compétence diagnostic permanent exercée à ce jour.</w:t>
      </w:r>
    </w:p>
    <w:p w14:paraId="35A99045" w14:textId="77777777" w:rsidR="004B39F6" w:rsidRDefault="00037BEB" w:rsidP="007C0C4D">
      <w:pPr>
        <w:jc w:val="both"/>
      </w:pPr>
      <w:r>
        <w:t>Il est à noter qu’une partie de ce diagnostic repose sur des analyses de substances polluantes dans les effluents des usagers identifiés, analyses qui impliquent des équipements technologiques très spécifiques et qui sont confiées à des laboratoires spécialisés (pas de réalisation en interne chez Veolia).</w:t>
      </w:r>
      <w:r w:rsidR="004B39F6">
        <w:t xml:space="preserve"> </w:t>
      </w:r>
    </w:p>
    <w:p w14:paraId="584576DA" w14:textId="5B06D5D5" w:rsidR="00037BEB" w:rsidRDefault="004B39F6" w:rsidP="007C0C4D">
      <w:pPr>
        <w:jc w:val="both"/>
      </w:pPr>
      <w:r>
        <w:t>Des bureaux d’études réalisent également ce type de prestations d’accompagnement pour le conventionnement d’usagers non domestiques.</w:t>
      </w:r>
    </w:p>
    <w:p w14:paraId="5BDACF00" w14:textId="74442D0E" w:rsidR="00037BEB" w:rsidRDefault="00037BEB" w:rsidP="007C0C4D">
      <w:pPr>
        <w:jc w:val="both"/>
      </w:pPr>
    </w:p>
    <w:p w14:paraId="76816E2A" w14:textId="5E6C39AB" w:rsidR="00037BEB" w:rsidRDefault="00037BEB" w:rsidP="007C0C4D">
      <w:pPr>
        <w:jc w:val="both"/>
      </w:pPr>
    </w:p>
    <w:p w14:paraId="78EA1DD2" w14:textId="488700BE" w:rsidR="00AB4D3F" w:rsidRDefault="00AB4D3F" w:rsidP="007C0C4D">
      <w:pPr>
        <w:jc w:val="both"/>
      </w:pPr>
      <w:bookmarkStart w:id="0" w:name="_GoBack"/>
      <w:bookmarkEnd w:id="0"/>
    </w:p>
    <w:p w14:paraId="7E3451CF" w14:textId="77777777" w:rsidR="00AB4D3F" w:rsidRDefault="00AB4D3F" w:rsidP="007C0C4D">
      <w:pPr>
        <w:jc w:val="both"/>
      </w:pPr>
    </w:p>
    <w:sectPr w:rsidR="00AB4D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3697" w14:textId="77777777" w:rsidR="000F6AB8" w:rsidRDefault="000F6AB8" w:rsidP="00EB205A">
      <w:pPr>
        <w:spacing w:after="0" w:line="240" w:lineRule="auto"/>
      </w:pPr>
      <w:r>
        <w:separator/>
      </w:r>
    </w:p>
  </w:endnote>
  <w:endnote w:type="continuationSeparator" w:id="0">
    <w:p w14:paraId="1957B9F6" w14:textId="77777777" w:rsidR="000F6AB8" w:rsidRDefault="000F6AB8" w:rsidP="00EB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873584"/>
      <w:docPartObj>
        <w:docPartGallery w:val="Page Numbers (Bottom of Page)"/>
        <w:docPartUnique/>
      </w:docPartObj>
    </w:sdtPr>
    <w:sdtEndPr/>
    <w:sdtContent>
      <w:p w14:paraId="74EDBC12" w14:textId="57FA7095" w:rsidR="00EB205A" w:rsidRDefault="00EB205A">
        <w:pPr>
          <w:pStyle w:val="Pieddepage"/>
          <w:jc w:val="right"/>
        </w:pPr>
        <w:r>
          <w:fldChar w:fldCharType="begin"/>
        </w:r>
        <w:r>
          <w:instrText>PAGE   \* MERGEFORMAT</w:instrText>
        </w:r>
        <w:r>
          <w:fldChar w:fldCharType="separate"/>
        </w:r>
        <w:r>
          <w:t>2</w:t>
        </w:r>
        <w:r>
          <w:fldChar w:fldCharType="end"/>
        </w:r>
      </w:p>
    </w:sdtContent>
  </w:sdt>
  <w:p w14:paraId="4414016B" w14:textId="77777777" w:rsidR="00EB205A" w:rsidRDefault="00EB20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30B09" w14:textId="77777777" w:rsidR="000F6AB8" w:rsidRDefault="000F6AB8" w:rsidP="00EB205A">
      <w:pPr>
        <w:spacing w:after="0" w:line="240" w:lineRule="auto"/>
      </w:pPr>
      <w:r>
        <w:separator/>
      </w:r>
    </w:p>
  </w:footnote>
  <w:footnote w:type="continuationSeparator" w:id="0">
    <w:p w14:paraId="523A1927" w14:textId="77777777" w:rsidR="000F6AB8" w:rsidRDefault="000F6AB8" w:rsidP="00EB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2E02" w14:textId="49BC4884" w:rsidR="00EB205A" w:rsidRDefault="00EB205A" w:rsidP="00EB205A">
    <w:pPr>
      <w:pStyle w:val="En-tte"/>
      <w:jc w:val="right"/>
    </w:pPr>
    <w:r w:rsidRPr="00EB205A">
      <w:rPr>
        <w:noProof/>
      </w:rPr>
      <w:drawing>
        <wp:inline distT="0" distB="0" distL="0" distR="0" wp14:anchorId="5736CE96" wp14:editId="326146D8">
          <wp:extent cx="580390" cy="431421"/>
          <wp:effectExtent l="0" t="0" r="0" b="6985"/>
          <wp:docPr id="5" name="Image 3">
            <a:extLst xmlns:a="http://schemas.openxmlformats.org/drawingml/2006/main">
              <a:ext uri="{FF2B5EF4-FFF2-40B4-BE49-F238E27FC236}">
                <a16:creationId xmlns:a16="http://schemas.microsoft.com/office/drawing/2014/main" id="{CA413BDE-5003-468B-9F61-DA6637D7F9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CA413BDE-5003-468B-9F61-DA6637D7F972}"/>
                      </a:ext>
                    </a:extLst>
                  </pic:cNvPr>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587788" cy="436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2E37"/>
    <w:multiLevelType w:val="hybridMultilevel"/>
    <w:tmpl w:val="E13AFFF4"/>
    <w:lvl w:ilvl="0" w:tplc="E1B0C1F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CF203D"/>
    <w:multiLevelType w:val="hybridMultilevel"/>
    <w:tmpl w:val="0A6C4E1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4A0C99"/>
    <w:multiLevelType w:val="hybridMultilevel"/>
    <w:tmpl w:val="03C84D36"/>
    <w:lvl w:ilvl="0" w:tplc="51D611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34000C"/>
    <w:multiLevelType w:val="hybridMultilevel"/>
    <w:tmpl w:val="0A6C4E1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D3"/>
    <w:rsid w:val="00037BEB"/>
    <w:rsid w:val="000F6AB8"/>
    <w:rsid w:val="00262202"/>
    <w:rsid w:val="003D7520"/>
    <w:rsid w:val="004B39F6"/>
    <w:rsid w:val="00517D28"/>
    <w:rsid w:val="007976AB"/>
    <w:rsid w:val="007C0C4D"/>
    <w:rsid w:val="00833189"/>
    <w:rsid w:val="00941B50"/>
    <w:rsid w:val="009532D3"/>
    <w:rsid w:val="009E6C1E"/>
    <w:rsid w:val="00AB4D3F"/>
    <w:rsid w:val="00AD10C4"/>
    <w:rsid w:val="00AF744B"/>
    <w:rsid w:val="00B37B01"/>
    <w:rsid w:val="00C03CB2"/>
    <w:rsid w:val="00C056DF"/>
    <w:rsid w:val="00D27B7B"/>
    <w:rsid w:val="00D6424E"/>
    <w:rsid w:val="00DE57C2"/>
    <w:rsid w:val="00E6489C"/>
    <w:rsid w:val="00EB205A"/>
    <w:rsid w:val="00F458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29DD"/>
  <w15:chartTrackingRefBased/>
  <w15:docId w15:val="{AD2E9518-6682-4D1C-B811-DC22999A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D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B4D3F"/>
    <w:rPr>
      <w:sz w:val="16"/>
      <w:szCs w:val="16"/>
    </w:rPr>
  </w:style>
  <w:style w:type="paragraph" w:styleId="Commentaire">
    <w:name w:val="annotation text"/>
    <w:basedOn w:val="Normal"/>
    <w:link w:val="CommentaireCar"/>
    <w:uiPriority w:val="99"/>
    <w:semiHidden/>
    <w:unhideWhenUsed/>
    <w:rsid w:val="00AB4D3F"/>
    <w:pPr>
      <w:spacing w:line="240" w:lineRule="auto"/>
    </w:pPr>
    <w:rPr>
      <w:sz w:val="20"/>
      <w:szCs w:val="20"/>
    </w:rPr>
  </w:style>
  <w:style w:type="character" w:customStyle="1" w:styleId="CommentaireCar">
    <w:name w:val="Commentaire Car"/>
    <w:basedOn w:val="Policepardfaut"/>
    <w:link w:val="Commentaire"/>
    <w:uiPriority w:val="99"/>
    <w:semiHidden/>
    <w:rsid w:val="00AB4D3F"/>
    <w:rPr>
      <w:sz w:val="20"/>
      <w:szCs w:val="20"/>
    </w:rPr>
  </w:style>
  <w:style w:type="paragraph" w:styleId="Textedebulles">
    <w:name w:val="Balloon Text"/>
    <w:basedOn w:val="Normal"/>
    <w:link w:val="TextedebullesCar"/>
    <w:uiPriority w:val="99"/>
    <w:semiHidden/>
    <w:unhideWhenUsed/>
    <w:rsid w:val="00AB4D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4D3F"/>
    <w:rPr>
      <w:rFonts w:ascii="Segoe UI" w:hAnsi="Segoe UI" w:cs="Segoe UI"/>
      <w:sz w:val="18"/>
      <w:szCs w:val="18"/>
    </w:rPr>
  </w:style>
  <w:style w:type="table" w:styleId="TableauGrille4-Accentuation5">
    <w:name w:val="Grid Table 4 Accent 5"/>
    <w:basedOn w:val="TableauNormal"/>
    <w:uiPriority w:val="49"/>
    <w:rsid w:val="00517D2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aragraphedeliste">
    <w:name w:val="List Paragraph"/>
    <w:basedOn w:val="Normal"/>
    <w:uiPriority w:val="34"/>
    <w:qFormat/>
    <w:rsid w:val="007C0C4D"/>
    <w:pPr>
      <w:ind w:left="720"/>
      <w:contextualSpacing/>
    </w:pPr>
  </w:style>
  <w:style w:type="paragraph" w:styleId="En-tte">
    <w:name w:val="header"/>
    <w:basedOn w:val="Normal"/>
    <w:link w:val="En-tteCar"/>
    <w:uiPriority w:val="99"/>
    <w:unhideWhenUsed/>
    <w:rsid w:val="00EB205A"/>
    <w:pPr>
      <w:tabs>
        <w:tab w:val="center" w:pos="4536"/>
        <w:tab w:val="right" w:pos="9072"/>
      </w:tabs>
      <w:spacing w:after="0" w:line="240" w:lineRule="auto"/>
    </w:pPr>
  </w:style>
  <w:style w:type="character" w:customStyle="1" w:styleId="En-tteCar">
    <w:name w:val="En-tête Car"/>
    <w:basedOn w:val="Policepardfaut"/>
    <w:link w:val="En-tte"/>
    <w:uiPriority w:val="99"/>
    <w:rsid w:val="00EB205A"/>
  </w:style>
  <w:style w:type="paragraph" w:styleId="Pieddepage">
    <w:name w:val="footer"/>
    <w:basedOn w:val="Normal"/>
    <w:link w:val="PieddepageCar"/>
    <w:uiPriority w:val="99"/>
    <w:unhideWhenUsed/>
    <w:rsid w:val="00EB20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B5902295BFF4C8377E898229E6EC2" ma:contentTypeVersion="15" ma:contentTypeDescription="Crée un document." ma:contentTypeScope="" ma:versionID="a36ffe4bdff42a606c81882b3c675b17">
  <xsd:schema xmlns:xsd="http://www.w3.org/2001/XMLSchema" xmlns:xs="http://www.w3.org/2001/XMLSchema" xmlns:p="http://schemas.microsoft.com/office/2006/metadata/properties" xmlns:ns2="85752e10-fe56-4fef-a37e-a6766dfd438c" xmlns:ns3="33b970a4-643f-4469-a30b-c2969315ef8a" targetNamespace="http://schemas.microsoft.com/office/2006/metadata/properties" ma:root="true" ma:fieldsID="1ab024a360a9a9df71b8c9849f5fd1e3" ns2:_="" ns3:_="">
    <xsd:import namespace="85752e10-fe56-4fef-a37e-a6766dfd438c"/>
    <xsd:import namespace="33b970a4-643f-4469-a30b-c2969315ef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52e10-fe56-4fef-a37e-a6766dfd4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498e138-10ad-4e45-a616-48606944e5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970a4-643f-4469-a30b-c2969315ef8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b73a317f-117b-4008-bb83-c3778765736e}" ma:internalName="TaxCatchAll" ma:showField="CatchAllData" ma:web="33b970a4-643f-4469-a30b-c2969315e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b970a4-643f-4469-a30b-c2969315ef8a" xsi:nil="true"/>
    <lcf76f155ced4ddcb4097134ff3c332f xmlns="85752e10-fe56-4fef-a37e-a6766dfd43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01E25D-C519-4DD6-836B-CFBF99BDC5A6}"/>
</file>

<file path=customXml/itemProps2.xml><?xml version="1.0" encoding="utf-8"?>
<ds:datastoreItem xmlns:ds="http://schemas.openxmlformats.org/officeDocument/2006/customXml" ds:itemID="{E5844A29-29DF-40C1-A87D-C746449B16EF}"/>
</file>

<file path=customXml/itemProps3.xml><?xml version="1.0" encoding="utf-8"?>
<ds:datastoreItem xmlns:ds="http://schemas.openxmlformats.org/officeDocument/2006/customXml" ds:itemID="{BC0E7DC8-D614-4F96-8BF7-5E2F4DCDD279}"/>
</file>

<file path=docProps/app.xml><?xml version="1.0" encoding="utf-8"?>
<Properties xmlns="http://schemas.openxmlformats.org/officeDocument/2006/extended-properties" xmlns:vt="http://schemas.openxmlformats.org/officeDocument/2006/docPropsVTypes">
  <Template>Normal</Template>
  <TotalTime>94</TotalTime>
  <Pages>7</Pages>
  <Words>1437</Words>
  <Characters>7907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DURAND</dc:creator>
  <cp:keywords/>
  <dc:description/>
  <cp:lastModifiedBy>Thibault DURAND</cp:lastModifiedBy>
  <cp:revision>10</cp:revision>
  <dcterms:created xsi:type="dcterms:W3CDTF">2021-03-12T15:25:00Z</dcterms:created>
  <dcterms:modified xsi:type="dcterms:W3CDTF">2021-03-16T12:42:00Z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0x010100796B5902295BFF4C8377E898229E6EC2</vt:lpwstr>
  </property>
</Properties>
</file>